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B" w:rsidRPr="00BC3F25" w:rsidRDefault="00DE797B" w:rsidP="00DE797B">
      <w:pPr>
        <w:jc w:val="center"/>
        <w:rPr>
          <w:b/>
          <w:sz w:val="28"/>
          <w:szCs w:val="28"/>
          <w:lang w:val="ro-RO"/>
        </w:rPr>
      </w:pPr>
      <w:r w:rsidRPr="00BC3F25">
        <w:rPr>
          <w:b/>
          <w:sz w:val="28"/>
          <w:szCs w:val="28"/>
          <w:lang w:val="ro-RO"/>
        </w:rPr>
        <w:t>TEMATIC</w:t>
      </w:r>
      <w:r w:rsidR="00AC6440">
        <w:rPr>
          <w:b/>
          <w:sz w:val="28"/>
          <w:szCs w:val="28"/>
          <w:lang w:val="ro-RO"/>
        </w:rPr>
        <w:t>Ă EXAMEN DE LICENŢĂ - IULIE 2022</w:t>
      </w:r>
      <w:bookmarkStart w:id="0" w:name="_GoBack"/>
      <w:bookmarkEnd w:id="0"/>
    </w:p>
    <w:p w:rsidR="00DE797B" w:rsidRPr="00BC3F25" w:rsidRDefault="00DE797B" w:rsidP="00DE797B">
      <w:pPr>
        <w:pStyle w:val="Heading1"/>
        <w:rPr>
          <w:i w:val="0"/>
        </w:rPr>
      </w:pPr>
      <w:r w:rsidRPr="00BC3F25">
        <w:rPr>
          <w:i w:val="0"/>
        </w:rPr>
        <w:t>TEOLOGIE ORTODOXĂ ASISTENŢĂ SOCIALA</w:t>
      </w:r>
    </w:p>
    <w:p w:rsidR="00DE797B" w:rsidRPr="00BC3F25" w:rsidRDefault="00DE797B" w:rsidP="00141C8B">
      <w:pPr>
        <w:spacing w:line="360" w:lineRule="auto"/>
        <w:rPr>
          <w:b/>
          <w:lang w:val="ro-RO"/>
        </w:rPr>
      </w:pPr>
    </w:p>
    <w:p w:rsidR="00DE797B" w:rsidRPr="00BC3F25" w:rsidRDefault="00DE797B" w:rsidP="00141C8B">
      <w:pPr>
        <w:spacing w:line="360" w:lineRule="auto"/>
        <w:rPr>
          <w:b/>
          <w:lang w:val="ro-RO"/>
        </w:rPr>
      </w:pPr>
    </w:p>
    <w:p w:rsidR="00DE797B" w:rsidRPr="00BC3F25" w:rsidRDefault="00DE797B" w:rsidP="00141C8B">
      <w:pPr>
        <w:spacing w:line="360" w:lineRule="auto"/>
        <w:rPr>
          <w:b/>
          <w:lang w:val="ro-RO"/>
        </w:rPr>
      </w:pPr>
    </w:p>
    <w:p w:rsidR="00141C8B" w:rsidRPr="00BC3F25" w:rsidRDefault="00141C8B" w:rsidP="00141C8B">
      <w:pPr>
        <w:spacing w:line="360" w:lineRule="auto"/>
        <w:rPr>
          <w:lang w:val="ro-RO"/>
        </w:rPr>
      </w:pPr>
      <w:r w:rsidRPr="00BC3F25">
        <w:rPr>
          <w:b/>
          <w:lang w:val="ro-RO"/>
        </w:rPr>
        <w:t>Subiecte Teologie Dogmatică</w:t>
      </w:r>
      <w:r w:rsidR="00DE797B" w:rsidRPr="00BC3F25">
        <w:rPr>
          <w:b/>
          <w:lang w:val="ro-RO"/>
        </w:rPr>
        <w:t xml:space="preserve"> – PROBA ORALA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</w:p>
    <w:p w:rsidR="00141C8B" w:rsidRPr="00BC3F25" w:rsidRDefault="00141C8B" w:rsidP="00141C8B">
      <w:pPr>
        <w:spacing w:line="312" w:lineRule="auto"/>
        <w:rPr>
          <w:spacing w:val="6"/>
          <w:szCs w:val="28"/>
          <w:lang w:val="ro-RO"/>
        </w:rPr>
      </w:pPr>
      <w:r w:rsidRPr="00BC3F25">
        <w:rPr>
          <w:lang w:val="ro-RO"/>
        </w:rPr>
        <w:t>1. Sfânta Scriptură și Sfânta Tradiție în legătura lor cu Biserica.</w:t>
      </w:r>
      <w:r w:rsidRPr="00BC3F25">
        <w:rPr>
          <w:spacing w:val="6"/>
          <w:szCs w:val="28"/>
          <w:lang w:val="ro-RO"/>
        </w:rPr>
        <w:t>.</w:t>
      </w:r>
    </w:p>
    <w:p w:rsidR="00141C8B" w:rsidRPr="00BC3F25" w:rsidRDefault="00141C8B" w:rsidP="00141C8B">
      <w:pPr>
        <w:spacing w:line="312" w:lineRule="auto"/>
        <w:rPr>
          <w:spacing w:val="6"/>
          <w:szCs w:val="28"/>
          <w:lang w:val="ro-RO"/>
        </w:rPr>
      </w:pPr>
      <w:r w:rsidRPr="00BC3F25">
        <w:rPr>
          <w:spacing w:val="6"/>
          <w:szCs w:val="28"/>
          <w:lang w:val="ro-RO"/>
        </w:rPr>
        <w:t>2. Legătura strânsă dintre revelația naturală și supranaturală.</w:t>
      </w:r>
    </w:p>
    <w:p w:rsidR="00141C8B" w:rsidRPr="00BC3F25" w:rsidRDefault="00141C8B" w:rsidP="00141C8B">
      <w:pPr>
        <w:spacing w:line="312" w:lineRule="auto"/>
        <w:rPr>
          <w:spacing w:val="6"/>
          <w:szCs w:val="28"/>
          <w:lang w:val="ro-RO"/>
        </w:rPr>
      </w:pPr>
      <w:r w:rsidRPr="00BC3F25">
        <w:rPr>
          <w:spacing w:val="6"/>
          <w:szCs w:val="28"/>
          <w:lang w:val="ro-RO"/>
        </w:rPr>
        <w:t>3. Sensul creației și legătura ei c</w:t>
      </w:r>
      <w:r w:rsidR="007D19F3" w:rsidRPr="00BC3F25">
        <w:rPr>
          <w:spacing w:val="6"/>
          <w:szCs w:val="28"/>
          <w:lang w:val="ro-RO"/>
        </w:rPr>
        <w:t>u omul prin raportarea lor la Du</w:t>
      </w:r>
      <w:r w:rsidRPr="00BC3F25">
        <w:rPr>
          <w:spacing w:val="6"/>
          <w:szCs w:val="28"/>
          <w:lang w:val="ro-RO"/>
        </w:rPr>
        <w:t>mnezeu.</w:t>
      </w:r>
    </w:p>
    <w:p w:rsidR="00141C8B" w:rsidRPr="00BC3F25" w:rsidRDefault="00141C8B" w:rsidP="00141C8B">
      <w:pPr>
        <w:spacing w:line="312" w:lineRule="auto"/>
        <w:rPr>
          <w:spacing w:val="6"/>
          <w:szCs w:val="28"/>
          <w:lang w:val="ro-RO"/>
        </w:rPr>
      </w:pPr>
      <w:r w:rsidRPr="00BC3F25">
        <w:rPr>
          <w:spacing w:val="6"/>
          <w:szCs w:val="28"/>
          <w:lang w:val="ro-RO"/>
        </w:rPr>
        <w:t>4. Chipul și asemănarea omului cu Dumnezeu.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spacing w:val="6"/>
          <w:szCs w:val="28"/>
          <w:lang w:val="ro-RO"/>
        </w:rPr>
        <w:t xml:space="preserve">5. </w:t>
      </w:r>
      <w:r w:rsidRPr="00BC3F25">
        <w:rPr>
          <w:lang w:val="ro-RO"/>
        </w:rPr>
        <w:t xml:space="preserve">Caracterul necreat al harului după </w:t>
      </w:r>
      <w:r w:rsidR="00BC3F25" w:rsidRPr="00BC3F25">
        <w:rPr>
          <w:lang w:val="ro-RO"/>
        </w:rPr>
        <w:t>învățătura</w:t>
      </w:r>
      <w:r w:rsidRPr="00BC3F25">
        <w:rPr>
          <w:lang w:val="ro-RO"/>
        </w:rPr>
        <w:t xml:space="preserve"> ortodoxă.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lang w:val="ro-RO"/>
        </w:rPr>
        <w:t>6. Aspectul ontologic al Răscumpărării.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lang w:val="ro-RO"/>
        </w:rPr>
        <w:t xml:space="preserve">7. Biserica – extinderea lui Hristos în oameni şi </w:t>
      </w:r>
      <w:r w:rsidR="00BC3F25" w:rsidRPr="00BC3F25">
        <w:rPr>
          <w:lang w:val="ro-RO"/>
        </w:rPr>
        <w:t>locaș</w:t>
      </w:r>
      <w:r w:rsidRPr="00BC3F25">
        <w:rPr>
          <w:lang w:val="ro-RO"/>
        </w:rPr>
        <w:t xml:space="preserve"> al Duhului Sfânt. Ierarhia bisericească și lucrarea ei sfințitoare în viața Bisericii.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lang w:val="ro-RO"/>
        </w:rPr>
        <w:t>8. Cinstire sfintelor icoane.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lang w:val="ro-RO"/>
        </w:rPr>
        <w:t xml:space="preserve">9. </w:t>
      </w:r>
      <w:proofErr w:type="spellStart"/>
      <w:r w:rsidRPr="00BC3F25">
        <w:rPr>
          <w:lang w:val="ro-RO"/>
        </w:rPr>
        <w:t>Preacinstirea</w:t>
      </w:r>
      <w:proofErr w:type="spellEnd"/>
      <w:r w:rsidRPr="00BC3F25">
        <w:rPr>
          <w:lang w:val="ro-RO"/>
        </w:rPr>
        <w:t xml:space="preserve"> Maicii Domnului.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  <w:r w:rsidRPr="00BC3F25">
        <w:rPr>
          <w:lang w:val="ro-RO"/>
        </w:rPr>
        <w:t>10. Cinstirea sfinților.</w:t>
      </w:r>
    </w:p>
    <w:p w:rsidR="00141C8B" w:rsidRPr="00BC3F25" w:rsidRDefault="00141C8B" w:rsidP="00141C8B">
      <w:pPr>
        <w:spacing w:line="360" w:lineRule="auto"/>
        <w:jc w:val="both"/>
        <w:rPr>
          <w:lang w:val="ro-RO"/>
        </w:rPr>
      </w:pPr>
    </w:p>
    <w:p w:rsidR="00141C8B" w:rsidRPr="00BC3F25" w:rsidRDefault="00141C8B" w:rsidP="00141C8B">
      <w:pPr>
        <w:jc w:val="both"/>
        <w:rPr>
          <w:b/>
          <w:bCs/>
          <w:sz w:val="22"/>
          <w:lang w:val="ro-RO"/>
        </w:rPr>
      </w:pPr>
      <w:r w:rsidRPr="00BC3F25">
        <w:rPr>
          <w:b/>
          <w:bCs/>
          <w:sz w:val="22"/>
          <w:lang w:val="ro-RO"/>
        </w:rPr>
        <w:t xml:space="preserve">Notă: Tematica se referă numai la aspectele dogmatice ale </w:t>
      </w:r>
      <w:proofErr w:type="spellStart"/>
      <w:r w:rsidRPr="00BC3F25">
        <w:rPr>
          <w:b/>
          <w:bCs/>
          <w:sz w:val="22"/>
          <w:lang w:val="ro-RO"/>
        </w:rPr>
        <w:t>învăţăturii</w:t>
      </w:r>
      <w:proofErr w:type="spellEnd"/>
      <w:r w:rsidRPr="00BC3F25">
        <w:rPr>
          <w:b/>
          <w:bCs/>
          <w:sz w:val="22"/>
          <w:lang w:val="ro-RO"/>
        </w:rPr>
        <w:t xml:space="preserve"> ortodoxe!</w:t>
      </w:r>
    </w:p>
    <w:p w:rsidR="00141C8B" w:rsidRPr="00BC3F25" w:rsidRDefault="00141C8B" w:rsidP="00141C8B">
      <w:pPr>
        <w:jc w:val="both"/>
        <w:rPr>
          <w:sz w:val="22"/>
          <w:lang w:val="ro-RO"/>
        </w:rPr>
      </w:pPr>
      <w:r w:rsidRPr="00BC3F25">
        <w:rPr>
          <w:b/>
          <w:bCs/>
          <w:sz w:val="22"/>
          <w:lang w:val="ro-RO"/>
        </w:rPr>
        <w:t>Bibliografie</w:t>
      </w:r>
      <w:r w:rsidRPr="00BC3F25">
        <w:rPr>
          <w:sz w:val="22"/>
          <w:lang w:val="ro-RO"/>
        </w:rPr>
        <w:t>:</w:t>
      </w:r>
    </w:p>
    <w:p w:rsidR="00141C8B" w:rsidRPr="00BC3F25" w:rsidRDefault="00141C8B" w:rsidP="00141C8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3F25">
        <w:rPr>
          <w:b/>
          <w:sz w:val="24"/>
          <w:szCs w:val="24"/>
        </w:rPr>
        <w:t xml:space="preserve">Vasile Cristescu, </w:t>
      </w:r>
      <w:r w:rsidRPr="00BC3F25">
        <w:rPr>
          <w:b/>
          <w:i/>
          <w:sz w:val="24"/>
          <w:szCs w:val="24"/>
        </w:rPr>
        <w:t>Teologia Dogmatică Ortodoxă,</w:t>
      </w:r>
      <w:r w:rsidRPr="00BC3F25">
        <w:rPr>
          <w:b/>
          <w:sz w:val="24"/>
          <w:szCs w:val="24"/>
        </w:rPr>
        <w:t xml:space="preserve"> Editura </w:t>
      </w:r>
      <w:proofErr w:type="spellStart"/>
      <w:r w:rsidRPr="00BC3F25">
        <w:rPr>
          <w:b/>
          <w:sz w:val="24"/>
          <w:szCs w:val="24"/>
        </w:rPr>
        <w:t>Tehnopress</w:t>
      </w:r>
      <w:proofErr w:type="spellEnd"/>
      <w:r w:rsidRPr="00BC3F25">
        <w:rPr>
          <w:b/>
          <w:sz w:val="24"/>
          <w:szCs w:val="24"/>
        </w:rPr>
        <w:t>, Iași, 2009.</w:t>
      </w:r>
    </w:p>
    <w:p w:rsidR="00141C8B" w:rsidRPr="00BC3F25" w:rsidRDefault="00141C8B" w:rsidP="00141C8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3F25">
        <w:rPr>
          <w:b/>
          <w:sz w:val="24"/>
          <w:szCs w:val="24"/>
        </w:rPr>
        <w:t xml:space="preserve">Vladimir </w:t>
      </w:r>
      <w:proofErr w:type="spellStart"/>
      <w:r w:rsidRPr="00BC3F25">
        <w:rPr>
          <w:b/>
          <w:sz w:val="24"/>
          <w:szCs w:val="24"/>
        </w:rPr>
        <w:t>Lossky</w:t>
      </w:r>
      <w:proofErr w:type="spellEnd"/>
      <w:r w:rsidRPr="00BC3F25">
        <w:rPr>
          <w:b/>
          <w:sz w:val="24"/>
          <w:szCs w:val="24"/>
        </w:rPr>
        <w:t xml:space="preserve">, </w:t>
      </w:r>
      <w:r w:rsidRPr="00BC3F25">
        <w:rPr>
          <w:b/>
          <w:i/>
          <w:sz w:val="24"/>
          <w:szCs w:val="24"/>
        </w:rPr>
        <w:t>Introducere în teologia ortodoxă</w:t>
      </w:r>
      <w:r w:rsidRPr="00BC3F25">
        <w:rPr>
          <w:b/>
          <w:sz w:val="24"/>
          <w:szCs w:val="24"/>
        </w:rPr>
        <w:t>, trad. de Lidia și Remus Rus, Editura Sophia, București, 2014.</w:t>
      </w:r>
    </w:p>
    <w:p w:rsidR="00141C8B" w:rsidRPr="00BC3F25" w:rsidRDefault="00141C8B" w:rsidP="00141C8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3F25">
        <w:rPr>
          <w:b/>
          <w:sz w:val="24"/>
          <w:szCs w:val="24"/>
        </w:rPr>
        <w:t xml:space="preserve">Idem, Teologia mistică a Bisericii de Răsărit, trad. de Pr. Vasile </w:t>
      </w:r>
      <w:proofErr w:type="spellStart"/>
      <w:r w:rsidRPr="00BC3F25">
        <w:rPr>
          <w:b/>
          <w:sz w:val="24"/>
          <w:szCs w:val="24"/>
        </w:rPr>
        <w:t>Răducă</w:t>
      </w:r>
      <w:proofErr w:type="spellEnd"/>
      <w:r w:rsidRPr="00BC3F25">
        <w:rPr>
          <w:b/>
          <w:sz w:val="24"/>
          <w:szCs w:val="24"/>
        </w:rPr>
        <w:t>, Editura Anastasia, București, București, 1991.</w:t>
      </w:r>
    </w:p>
    <w:p w:rsidR="00141C8B" w:rsidRPr="00BC3F25" w:rsidRDefault="00141C8B" w:rsidP="00141C8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3F25">
        <w:rPr>
          <w:b/>
          <w:sz w:val="24"/>
          <w:szCs w:val="24"/>
        </w:rPr>
        <w:t xml:space="preserve">Paul </w:t>
      </w:r>
      <w:proofErr w:type="spellStart"/>
      <w:r w:rsidRPr="00BC3F25">
        <w:rPr>
          <w:b/>
          <w:sz w:val="24"/>
          <w:szCs w:val="24"/>
        </w:rPr>
        <w:t>Evdokimov</w:t>
      </w:r>
      <w:proofErr w:type="spellEnd"/>
      <w:r w:rsidRPr="00BC3F25">
        <w:rPr>
          <w:b/>
          <w:sz w:val="24"/>
          <w:szCs w:val="24"/>
        </w:rPr>
        <w:t xml:space="preserve">, </w:t>
      </w:r>
      <w:r w:rsidRPr="00BC3F25">
        <w:rPr>
          <w:b/>
          <w:i/>
          <w:sz w:val="24"/>
          <w:szCs w:val="24"/>
        </w:rPr>
        <w:t>Ortodoxia</w:t>
      </w:r>
      <w:r w:rsidRPr="00BC3F25">
        <w:rPr>
          <w:b/>
          <w:sz w:val="24"/>
          <w:szCs w:val="24"/>
        </w:rPr>
        <w:t>, Editura Institutului Biblic și de Misiune al Bisericii Ortodoxe Române, București, 1996.</w:t>
      </w:r>
    </w:p>
    <w:p w:rsidR="00141C8B" w:rsidRPr="00BC3F25" w:rsidRDefault="00141C8B" w:rsidP="00141C8B">
      <w:pPr>
        <w:ind w:left="720"/>
        <w:jc w:val="both"/>
        <w:rPr>
          <w:b/>
          <w:i/>
          <w:lang w:val="ro-RO"/>
        </w:rPr>
      </w:pPr>
      <w:r w:rsidRPr="00BC3F25">
        <w:rPr>
          <w:b/>
          <w:i/>
          <w:sz w:val="22"/>
          <w:lang w:val="ro-RO"/>
        </w:rPr>
        <w:br w:type="page"/>
      </w:r>
    </w:p>
    <w:p w:rsidR="00141C8B" w:rsidRDefault="00141C8B" w:rsidP="00DE797B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lastRenderedPageBreak/>
        <w:t>SUBIECTE DIN TEOLOGIE SOCIALĂ</w:t>
      </w:r>
      <w:r w:rsidR="00DE797B">
        <w:rPr>
          <w:b/>
          <w:i/>
          <w:lang w:val="ro-RO"/>
        </w:rPr>
        <w:t xml:space="preserve"> – PROBA ORALA </w:t>
      </w:r>
    </w:p>
    <w:p w:rsidR="00DE797B" w:rsidRDefault="00DE797B" w:rsidP="00DE797B">
      <w:pPr>
        <w:jc w:val="center"/>
        <w:rPr>
          <w:b/>
          <w:i/>
          <w:lang w:val="ro-RO"/>
        </w:rPr>
      </w:pP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Tehnici specific procesului de schimbare (contactul </w:t>
      </w:r>
      <w:proofErr w:type="spellStart"/>
      <w:r>
        <w:rPr>
          <w:lang w:val="ro-RO"/>
        </w:rPr>
        <w:t>iniţial</w:t>
      </w:r>
      <w:proofErr w:type="spellEnd"/>
      <w:r>
        <w:rPr>
          <w:lang w:val="ro-RO"/>
        </w:rPr>
        <w:t xml:space="preserve"> cu clientul, colectare de date şi evaluare primară, planificare şi contract, </w:t>
      </w:r>
      <w:proofErr w:type="spellStart"/>
      <w:r>
        <w:rPr>
          <w:lang w:val="ro-RO"/>
        </w:rPr>
        <w:t>intervenţie</w:t>
      </w:r>
      <w:proofErr w:type="spellEnd"/>
      <w:r>
        <w:rPr>
          <w:lang w:val="ro-RO"/>
        </w:rPr>
        <w:t xml:space="preserve"> şi monitorizare, evaluare finală)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Modificări </w:t>
      </w:r>
      <w:proofErr w:type="spellStart"/>
      <w:r>
        <w:rPr>
          <w:lang w:val="ro-RO"/>
        </w:rPr>
        <w:t>bio</w:t>
      </w:r>
      <w:proofErr w:type="spellEnd"/>
      <w:r>
        <w:rPr>
          <w:lang w:val="ro-RO"/>
        </w:rPr>
        <w:t>-</w:t>
      </w:r>
      <w:proofErr w:type="spellStart"/>
      <w:r>
        <w:rPr>
          <w:lang w:val="ro-RO"/>
        </w:rPr>
        <w:t>psiho</w:t>
      </w:r>
      <w:proofErr w:type="spellEnd"/>
      <w:r>
        <w:rPr>
          <w:lang w:val="ro-RO"/>
        </w:rPr>
        <w:t>-sociale  specifice vârstei a treia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Conceptul de criză şi crizele specifice vârstei a treia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Religiozitatea la vârsta a treia şi la persoanele cu handicap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Metode şi tehnici utilizate în investigarea persoanelor de vârsta a treia. Tehnici utilizate în realizarea studiului de caz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Forme de </w:t>
      </w:r>
      <w:proofErr w:type="spellStart"/>
      <w:r>
        <w:rPr>
          <w:lang w:val="ro-RO"/>
        </w:rPr>
        <w:t>protecţie</w:t>
      </w:r>
      <w:proofErr w:type="spellEnd"/>
      <w:r>
        <w:rPr>
          <w:lang w:val="ro-RO"/>
        </w:rPr>
        <w:t xml:space="preserve"> socială a copilului aflat în dificultate (plasamentul, </w:t>
      </w:r>
      <w:proofErr w:type="spellStart"/>
      <w:r>
        <w:rPr>
          <w:lang w:val="ro-RO"/>
        </w:rPr>
        <w:t>adopţia</w:t>
      </w:r>
      <w:proofErr w:type="spellEnd"/>
      <w:r>
        <w:rPr>
          <w:lang w:val="ro-RO"/>
        </w:rPr>
        <w:t xml:space="preserve"> şi susţinerea şi integrarea în familia naturală)</w:t>
      </w:r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Copilul autist şi </w:t>
      </w:r>
      <w:proofErr w:type="spellStart"/>
      <w:r>
        <w:rPr>
          <w:lang w:val="ro-RO"/>
        </w:rPr>
        <w:t>modalităţi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intervenţie</w:t>
      </w:r>
      <w:proofErr w:type="spellEnd"/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Copilul cu handicap mental şi </w:t>
      </w:r>
      <w:proofErr w:type="spellStart"/>
      <w:r>
        <w:rPr>
          <w:lang w:val="ro-RO"/>
        </w:rPr>
        <w:t>modalităţile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intervenţie</w:t>
      </w:r>
      <w:proofErr w:type="spellEnd"/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Copilul cu handicap fizic şi </w:t>
      </w:r>
      <w:proofErr w:type="spellStart"/>
      <w:r>
        <w:rPr>
          <w:lang w:val="ro-RO"/>
        </w:rPr>
        <w:t>modalităţi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intervenţie</w:t>
      </w:r>
      <w:proofErr w:type="spellEnd"/>
    </w:p>
    <w:p w:rsidR="00141C8B" w:rsidRDefault="00141C8B" w:rsidP="00141C8B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Copilul cu handicap senzorial şi </w:t>
      </w:r>
      <w:proofErr w:type="spellStart"/>
      <w:r>
        <w:rPr>
          <w:lang w:val="ro-RO"/>
        </w:rPr>
        <w:t>modalităţi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intervenţie</w:t>
      </w:r>
      <w:proofErr w:type="spellEnd"/>
    </w:p>
    <w:p w:rsidR="00141C8B" w:rsidRDefault="00141C8B" w:rsidP="00141C8B">
      <w:pPr>
        <w:jc w:val="both"/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>Bibliografie: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proofErr w:type="spellStart"/>
      <w:r>
        <w:rPr>
          <w:sz w:val="22"/>
          <w:lang w:val="ro-RO"/>
        </w:rPr>
        <w:t>Conţinutul</w:t>
      </w:r>
      <w:proofErr w:type="spellEnd"/>
      <w:r>
        <w:rPr>
          <w:sz w:val="22"/>
          <w:lang w:val="ro-RO"/>
        </w:rPr>
        <w:t xml:space="preserve"> cursurilor materiilor respective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Munteanu, A., </w:t>
      </w:r>
      <w:r>
        <w:rPr>
          <w:i/>
          <w:sz w:val="22"/>
          <w:lang w:val="ro-RO"/>
        </w:rPr>
        <w:t>Familii şi copii în dificultate. Note de curs</w:t>
      </w:r>
      <w:r>
        <w:rPr>
          <w:sz w:val="22"/>
          <w:lang w:val="ro-RO"/>
        </w:rPr>
        <w:t xml:space="preserve">, Editura </w:t>
      </w:r>
      <w:proofErr w:type="spellStart"/>
      <w:r>
        <w:rPr>
          <w:sz w:val="22"/>
          <w:lang w:val="ro-RO"/>
        </w:rPr>
        <w:t>Mirton</w:t>
      </w:r>
      <w:proofErr w:type="spellEnd"/>
      <w:r>
        <w:rPr>
          <w:sz w:val="22"/>
          <w:lang w:val="ro-RO"/>
        </w:rPr>
        <w:t xml:space="preserve">, </w:t>
      </w:r>
      <w:proofErr w:type="spellStart"/>
      <w:r>
        <w:rPr>
          <w:sz w:val="22"/>
          <w:lang w:val="ro-RO"/>
        </w:rPr>
        <w:t>Timişoara</w:t>
      </w:r>
      <w:proofErr w:type="spellEnd"/>
      <w:r>
        <w:rPr>
          <w:sz w:val="22"/>
          <w:lang w:val="ro-RO"/>
        </w:rPr>
        <w:t>, 2001.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Irimescu, G., </w:t>
      </w:r>
      <w:proofErr w:type="spellStart"/>
      <w:r>
        <w:rPr>
          <w:i/>
          <w:sz w:val="22"/>
          <w:lang w:val="ro-RO"/>
        </w:rPr>
        <w:t>Protecţia</w:t>
      </w:r>
      <w:proofErr w:type="spellEnd"/>
      <w:r>
        <w:rPr>
          <w:i/>
          <w:sz w:val="22"/>
          <w:lang w:val="ro-RO"/>
        </w:rPr>
        <w:t xml:space="preserve"> socială a copilului abuzat</w:t>
      </w:r>
      <w:r>
        <w:rPr>
          <w:sz w:val="22"/>
          <w:lang w:val="ro-RO"/>
        </w:rPr>
        <w:t>, Editura Universităţii „Al. I. Cuza” Iaşi, 2006.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proofErr w:type="spellStart"/>
      <w:r>
        <w:rPr>
          <w:sz w:val="22"/>
          <w:lang w:val="ro-RO"/>
        </w:rPr>
        <w:t>Mândrilă</w:t>
      </w:r>
      <w:proofErr w:type="spellEnd"/>
      <w:r>
        <w:rPr>
          <w:sz w:val="22"/>
          <w:lang w:val="ro-RO"/>
        </w:rPr>
        <w:t xml:space="preserve">, G., C., </w:t>
      </w:r>
      <w:r>
        <w:rPr>
          <w:i/>
          <w:sz w:val="22"/>
          <w:lang w:val="ro-RO"/>
        </w:rPr>
        <w:t>Dinamica familiei</w:t>
      </w:r>
      <w:r>
        <w:rPr>
          <w:sz w:val="22"/>
          <w:lang w:val="ro-RO"/>
        </w:rPr>
        <w:t xml:space="preserve">, Editura </w:t>
      </w:r>
      <w:proofErr w:type="spellStart"/>
      <w:r>
        <w:rPr>
          <w:sz w:val="22"/>
          <w:lang w:val="ro-RO"/>
        </w:rPr>
        <w:t>Pim</w:t>
      </w:r>
      <w:proofErr w:type="spellEnd"/>
      <w:r>
        <w:rPr>
          <w:sz w:val="22"/>
          <w:lang w:val="ro-RO"/>
        </w:rPr>
        <w:t>, Iaşi, 2000.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proofErr w:type="spellStart"/>
      <w:r>
        <w:rPr>
          <w:sz w:val="22"/>
          <w:lang w:val="ro-RO"/>
        </w:rPr>
        <w:t>Mândrilă</w:t>
      </w:r>
      <w:proofErr w:type="spellEnd"/>
      <w:r>
        <w:rPr>
          <w:sz w:val="22"/>
          <w:lang w:val="ro-RO"/>
        </w:rPr>
        <w:t xml:space="preserve">, G., C., </w:t>
      </w:r>
      <w:r>
        <w:rPr>
          <w:i/>
          <w:sz w:val="22"/>
          <w:lang w:val="ro-RO"/>
        </w:rPr>
        <w:t>Procesul de îmbătrânire la vârsta a treia</w:t>
      </w:r>
      <w:r>
        <w:rPr>
          <w:sz w:val="22"/>
          <w:lang w:val="ro-RO"/>
        </w:rPr>
        <w:t>, Editura Universităţii „Al. I. Cuza” Iaşi, 2008.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Irimescu, G., </w:t>
      </w:r>
      <w:proofErr w:type="spellStart"/>
      <w:r>
        <w:rPr>
          <w:i/>
          <w:sz w:val="22"/>
          <w:lang w:val="ro-RO"/>
        </w:rPr>
        <w:t>Asistenţa</w:t>
      </w:r>
      <w:proofErr w:type="spellEnd"/>
      <w:r>
        <w:rPr>
          <w:i/>
          <w:sz w:val="22"/>
          <w:lang w:val="ro-RO"/>
        </w:rPr>
        <w:t xml:space="preserve"> socială a familiei şi a copilului</w:t>
      </w:r>
      <w:r>
        <w:rPr>
          <w:sz w:val="22"/>
          <w:lang w:val="ro-RO"/>
        </w:rPr>
        <w:t>, Editura Universităţii „Al. I. Cuza” Iaşi, 2004.</w:t>
      </w:r>
    </w:p>
    <w:p w:rsidR="00141C8B" w:rsidRDefault="00141C8B" w:rsidP="00141C8B">
      <w:pPr>
        <w:tabs>
          <w:tab w:val="left" w:pos="-720"/>
        </w:tabs>
        <w:ind w:left="2381" w:hanging="2381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Macovei, E., </w:t>
      </w:r>
      <w:r>
        <w:rPr>
          <w:i/>
          <w:sz w:val="22"/>
          <w:lang w:val="ro-RO"/>
        </w:rPr>
        <w:t>Familia şi casa de copii</w:t>
      </w:r>
      <w:r>
        <w:rPr>
          <w:sz w:val="22"/>
          <w:lang w:val="ro-RO"/>
        </w:rPr>
        <w:t xml:space="preserve">, Editura Litera, </w:t>
      </w:r>
      <w:proofErr w:type="spellStart"/>
      <w:r>
        <w:rPr>
          <w:sz w:val="22"/>
          <w:lang w:val="ro-RO"/>
        </w:rPr>
        <w:t>Bucureşti</w:t>
      </w:r>
      <w:proofErr w:type="spellEnd"/>
      <w:r>
        <w:rPr>
          <w:sz w:val="22"/>
          <w:lang w:val="ro-RO"/>
        </w:rPr>
        <w:t>, 1989.</w:t>
      </w:r>
    </w:p>
    <w:p w:rsidR="00141C8B" w:rsidRDefault="00141C8B" w:rsidP="00141C8B">
      <w:pPr>
        <w:jc w:val="both"/>
        <w:rPr>
          <w:b/>
          <w:lang w:val="ro-RO"/>
        </w:rPr>
      </w:pPr>
    </w:p>
    <w:p w:rsidR="00716CDA" w:rsidRDefault="00716CDA"/>
    <w:p w:rsidR="00141C8B" w:rsidRDefault="00141C8B"/>
    <w:sectPr w:rsidR="0014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3EE"/>
    <w:multiLevelType w:val="hybridMultilevel"/>
    <w:tmpl w:val="FF9A8200"/>
    <w:lvl w:ilvl="0" w:tplc="C622A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2878"/>
    <w:multiLevelType w:val="hybridMultilevel"/>
    <w:tmpl w:val="6590D9BE"/>
    <w:lvl w:ilvl="0" w:tplc="10388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B"/>
    <w:rsid w:val="00141C8B"/>
    <w:rsid w:val="00716CDA"/>
    <w:rsid w:val="007D19F3"/>
    <w:rsid w:val="00A54FE8"/>
    <w:rsid w:val="00AC6440"/>
    <w:rsid w:val="00BC3F25"/>
    <w:rsid w:val="00DE797B"/>
    <w:rsid w:val="00D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1CE3D3-F8C8-46E8-8281-B599518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797B"/>
    <w:pPr>
      <w:keepNext/>
      <w:jc w:val="center"/>
      <w:outlineLvl w:val="0"/>
    </w:pPr>
    <w:rPr>
      <w:b/>
      <w:i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8B"/>
    <w:pPr>
      <w:ind w:left="720"/>
      <w:contextualSpacing/>
    </w:pPr>
    <w:rPr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DE797B"/>
    <w:rPr>
      <w:rFonts w:ascii="Times New Roman" w:eastAsia="Times New Roman" w:hAnsi="Times New Roman" w:cs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2020-02-18T12:45:00Z</dcterms:created>
  <dcterms:modified xsi:type="dcterms:W3CDTF">2022-05-17T09:20:00Z</dcterms:modified>
</cp:coreProperties>
</file>