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43" w:rsidRDefault="00C3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TEOLOGIE DOGMATICĂ ORTODOXĂ</w:t>
      </w:r>
    </w:p>
    <w:p w:rsidR="00E54243" w:rsidRDefault="00C37794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TEMATICA PENTRU EXAMENUL DE LICENŢĂ </w:t>
      </w:r>
    </w:p>
    <w:p w:rsidR="00E54243" w:rsidRDefault="00C37794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TEOLOGIE ASISTENȚĂ SOCIALĂ</w:t>
      </w:r>
    </w:p>
    <w:p w:rsidR="00E54243" w:rsidRDefault="00C37794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SESIUNEA IULIE 2023</w:t>
      </w:r>
    </w:p>
    <w:p w:rsidR="00E54243" w:rsidRDefault="00E54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4243" w:rsidRDefault="00E54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4243" w:rsidRDefault="00E54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4243" w:rsidRDefault="00E54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4243" w:rsidRDefault="00C377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1. Sfânta Scriptură, Sfânta Tradiție și dogmele Bisericii</w:t>
      </w:r>
    </w:p>
    <w:p w:rsidR="00E54243" w:rsidRDefault="00C37794">
      <w:pPr>
        <w:pStyle w:val="ListParagraph"/>
        <w:numPr>
          <w:ilvl w:val="0"/>
          <w:numId w:val="2"/>
        </w:num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Buchiu, Pr. Prof. Dr. Ştefan (coordonator), </w:t>
      </w:r>
      <w:r>
        <w:rPr>
          <w:rFonts w:ascii="Times New Roman" w:hAnsi="Times New Roman"/>
          <w:i/>
          <w:iCs/>
          <w:sz w:val="24"/>
          <w:szCs w:val="24"/>
        </w:rPr>
        <w:t>Teologia Dogmatică Ortodoxă</w:t>
      </w:r>
      <w:r>
        <w:rPr>
          <w:rFonts w:ascii="Times New Roman" w:hAnsi="Times New Roman"/>
          <w:sz w:val="24"/>
          <w:szCs w:val="24"/>
        </w:rPr>
        <w:t>, vol. I, Editura Basilica, Bucureşti, 2017, pp. 133-160.</w:t>
      </w:r>
    </w:p>
    <w:p w:rsidR="00E54243" w:rsidRDefault="00C37794">
      <w:pPr>
        <w:pStyle w:val="ListParagraph"/>
        <w:numPr>
          <w:ilvl w:val="0"/>
          <w:numId w:val="2"/>
        </w:num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Cristescu, Vasile, </w:t>
      </w:r>
      <w:r>
        <w:rPr>
          <w:rFonts w:ascii="Times New Roman" w:hAnsi="Times New Roman"/>
          <w:i/>
          <w:iCs/>
          <w:sz w:val="24"/>
          <w:szCs w:val="24"/>
        </w:rPr>
        <w:t>Teologia Dogmatică Ortodoxă</w:t>
      </w:r>
      <w:r>
        <w:rPr>
          <w:rFonts w:ascii="Times New Roman" w:hAnsi="Times New Roman"/>
          <w:sz w:val="24"/>
          <w:szCs w:val="24"/>
        </w:rPr>
        <w:t>, Editura Tehnopress, Iași, 2009, pp. 10-13, 18-27.</w:t>
      </w:r>
    </w:p>
    <w:p w:rsidR="00E54243" w:rsidRDefault="00C37794">
      <w:pPr>
        <w:pStyle w:val="ListParagraph"/>
        <w:spacing w:after="20" w:line="240" w:lineRule="auto"/>
        <w:ind w:left="1134" w:hanging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c. Neacșu,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Arhim. Lect. Dr. Nathanael </w:t>
      </w:r>
      <w:r>
        <w:rPr>
          <w:rFonts w:ascii="Times New Roman" w:hAnsi="Times New Roman"/>
          <w:i/>
          <w:iCs/>
          <w:sz w:val="24"/>
          <w:szCs w:val="24"/>
        </w:rPr>
        <w:t>Prelegeri de Teologie Dogmatică Ortodoxă</w:t>
      </w:r>
      <w:r>
        <w:rPr>
          <w:rFonts w:ascii="Times New Roman" w:hAnsi="Times New Roman"/>
          <w:sz w:val="24"/>
          <w:szCs w:val="24"/>
        </w:rPr>
        <w:t xml:space="preserve">, Facultatea de Teologie “Dumitru Staniloae”, Iași, (Plan de curs pentru uz intern// </w:t>
      </w:r>
      <w:r>
        <w:rPr>
          <w:rFonts w:ascii="Times New Roman" w:hAnsi="Times New Roman"/>
          <w:i/>
          <w:iCs/>
          <w:sz w:val="24"/>
          <w:szCs w:val="24"/>
        </w:rPr>
        <w:t>Prelegerile II &amp;IV</w:t>
      </w:r>
      <w:r>
        <w:rPr>
          <w:rFonts w:ascii="Times New Roman" w:hAnsi="Times New Roman"/>
          <w:sz w:val="24"/>
          <w:szCs w:val="24"/>
        </w:rPr>
        <w:t>,  An II/III, Sem. I, Secția: Teologie Asistență Socială/Artă Sacră).</w:t>
      </w:r>
    </w:p>
    <w:p w:rsidR="00E54243" w:rsidRDefault="00E5424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243" w:rsidRDefault="00C377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>Învățătura ortodoxă despre Sfânta Treime</w:t>
      </w:r>
    </w:p>
    <w:p w:rsidR="00E54243" w:rsidRDefault="00C37794">
      <w:pPr>
        <w:pStyle w:val="ListParagraph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a. Buchiu, Pr. prof. dr. Ştefan (coordonator), </w:t>
      </w:r>
      <w:r>
        <w:rPr>
          <w:rFonts w:ascii="Times New Roman" w:hAnsi="Times New Roman"/>
          <w:i/>
          <w:iCs/>
          <w:sz w:val="24"/>
          <w:szCs w:val="24"/>
        </w:rPr>
        <w:t>Teologia Dogmatică Ortodoxă</w:t>
      </w:r>
      <w:r>
        <w:rPr>
          <w:rFonts w:ascii="Times New Roman" w:hAnsi="Times New Roman"/>
          <w:sz w:val="24"/>
          <w:szCs w:val="24"/>
        </w:rPr>
        <w:t>, vol. I,  Editura Basilica, Bucureşti, 2017, pp. 266-301, 312-343.</w:t>
      </w:r>
    </w:p>
    <w:p w:rsidR="00E54243" w:rsidRDefault="00C37794">
      <w:pPr>
        <w:pStyle w:val="ListParagraph"/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b. Cristescu, Vasile, </w:t>
      </w:r>
      <w:r>
        <w:rPr>
          <w:rFonts w:ascii="Times New Roman" w:hAnsi="Times New Roman"/>
          <w:i/>
          <w:iCs/>
          <w:sz w:val="24"/>
          <w:szCs w:val="24"/>
        </w:rPr>
        <w:t>Teologia Dogmatică Ortodoxă</w:t>
      </w:r>
      <w:r>
        <w:rPr>
          <w:rFonts w:ascii="Times New Roman" w:hAnsi="Times New Roman"/>
          <w:sz w:val="24"/>
          <w:szCs w:val="24"/>
        </w:rPr>
        <w:t>, Editura Tehnopress, Iași, 2009, pp. 58-68, 72-78.</w:t>
      </w:r>
    </w:p>
    <w:p w:rsidR="00E54243" w:rsidRDefault="00C37794">
      <w:pPr>
        <w:pStyle w:val="ListParagraph"/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c. Neacșu,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Arhim. Lect. Dr. Nathanael </w:t>
      </w:r>
      <w:r>
        <w:rPr>
          <w:rFonts w:ascii="Times New Roman" w:hAnsi="Times New Roman"/>
          <w:i/>
          <w:iCs/>
          <w:sz w:val="24"/>
          <w:szCs w:val="24"/>
        </w:rPr>
        <w:t>Prelegeri de Teologie Dogmatică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 xml:space="preserve"> Ortodox</w:t>
      </w:r>
      <w:r>
        <w:rPr>
          <w:rFonts w:ascii="Times New Roman" w:hAnsi="Times New Roman"/>
          <w:i/>
          <w:iCs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, Facultatea de Teologie “Dumitru Staniloae”, Iasi, (Plan de curs pentru uz intern//</w:t>
      </w:r>
      <w:r>
        <w:rPr>
          <w:rFonts w:ascii="Times New Roman" w:hAnsi="Times New Roman"/>
          <w:i/>
          <w:iCs/>
          <w:sz w:val="24"/>
          <w:szCs w:val="24"/>
        </w:rPr>
        <w:t xml:space="preserve">Prelegerile VII, VIII, IX, </w:t>
      </w:r>
      <w:r>
        <w:rPr>
          <w:rFonts w:ascii="Times New Roman" w:hAnsi="Times New Roman"/>
          <w:sz w:val="24"/>
          <w:szCs w:val="24"/>
        </w:rPr>
        <w:t>An II/III, Sem. I, Secț</w:t>
      </w:r>
      <w:r>
        <w:rPr>
          <w:rFonts w:ascii="Times New Roman" w:hAnsi="Times New Roman"/>
          <w:sz w:val="24"/>
          <w:szCs w:val="24"/>
          <w:lang w:val="it-IT"/>
        </w:rPr>
        <w:t>ia: Teologie</w:t>
      </w:r>
      <w:r>
        <w:rPr>
          <w:rFonts w:ascii="Times New Roman" w:hAnsi="Times New Roman"/>
          <w:sz w:val="24"/>
          <w:szCs w:val="24"/>
        </w:rPr>
        <w:t xml:space="preserve"> Asistență Socială/Artă Sacră)).</w:t>
      </w:r>
    </w:p>
    <w:p w:rsidR="00E54243" w:rsidRDefault="00E5424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243" w:rsidRDefault="00C3779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 xml:space="preserve">Învățătura ortodoxă despre crearea omului (Condiția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după chipul și după asemănarea </w:t>
      </w:r>
      <w:r>
        <w:rPr>
          <w:rFonts w:ascii="Times New Roman" w:hAnsi="Times New Roman"/>
          <w:b/>
          <w:bCs/>
          <w:sz w:val="24"/>
          <w:szCs w:val="24"/>
        </w:rPr>
        <w:t>omului cu Dumnezeu; Starea primordială a omului; Căderea omului în păcat)</w:t>
      </w:r>
    </w:p>
    <w:p w:rsidR="00E54243" w:rsidRDefault="00C3779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Buchiu, Pr. prof. dr. Ştefan (coordonator), </w:t>
      </w:r>
      <w:r>
        <w:rPr>
          <w:rFonts w:ascii="Times New Roman" w:hAnsi="Times New Roman"/>
          <w:i/>
          <w:iCs/>
          <w:sz w:val="24"/>
          <w:szCs w:val="24"/>
        </w:rPr>
        <w:t>Teologia Dogmatică Ortodoxă</w:t>
      </w:r>
      <w:r>
        <w:rPr>
          <w:rFonts w:ascii="Times New Roman" w:hAnsi="Times New Roman"/>
          <w:sz w:val="24"/>
          <w:szCs w:val="24"/>
        </w:rPr>
        <w:t>, vol. I, Editura Basilica, Bucureşti, 2017, pp. 378-385, 388-417.</w:t>
      </w:r>
    </w:p>
    <w:p w:rsidR="00E54243" w:rsidRDefault="00C3779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Cristescu, Vasile, </w:t>
      </w:r>
      <w:r>
        <w:rPr>
          <w:rFonts w:ascii="Times New Roman" w:hAnsi="Times New Roman"/>
          <w:i/>
          <w:iCs/>
          <w:sz w:val="24"/>
          <w:szCs w:val="24"/>
        </w:rPr>
        <w:t>Teologia Dogmatică Ortodoxă</w:t>
      </w:r>
      <w:r>
        <w:rPr>
          <w:rFonts w:ascii="Times New Roman" w:hAnsi="Times New Roman"/>
          <w:sz w:val="24"/>
          <w:szCs w:val="24"/>
        </w:rPr>
        <w:t>, Editura Tehnopress, Iași, 2009, pp. 95-109.</w:t>
      </w:r>
    </w:p>
    <w:p w:rsidR="00E54243" w:rsidRDefault="00C3779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Neacșu,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Arhim. Lect. Dr. Nathanael </w:t>
      </w:r>
      <w:r>
        <w:rPr>
          <w:rFonts w:ascii="Times New Roman" w:hAnsi="Times New Roman"/>
          <w:i/>
          <w:iCs/>
          <w:sz w:val="24"/>
          <w:szCs w:val="24"/>
        </w:rPr>
        <w:t>Prelegeri de Teologie Dogmatică</w:t>
      </w:r>
      <w:r>
        <w:rPr>
          <w:rFonts w:ascii="Times New Roman" w:hAnsi="Times New Roman"/>
          <w:i/>
          <w:iCs/>
          <w:sz w:val="24"/>
          <w:szCs w:val="24"/>
          <w:lang w:val="es-ES_tradnl"/>
        </w:rPr>
        <w:t xml:space="preserve"> Ortodox</w:t>
      </w:r>
      <w:r>
        <w:rPr>
          <w:rFonts w:ascii="Times New Roman" w:hAnsi="Times New Roman"/>
          <w:i/>
          <w:iCs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, Facultatea de Teologie “Dumitru Staniloae”, Iași, (Plan de curs pentru uz intern//</w:t>
      </w:r>
      <w:r>
        <w:rPr>
          <w:rFonts w:ascii="Times New Roman" w:hAnsi="Times New Roman"/>
          <w:i/>
          <w:iCs/>
          <w:sz w:val="24"/>
          <w:szCs w:val="24"/>
        </w:rPr>
        <w:t>Prelegerile X, XI, XII&amp;XIII,</w:t>
      </w:r>
      <w:r>
        <w:rPr>
          <w:rFonts w:ascii="Times New Roman" w:hAnsi="Times New Roman"/>
          <w:sz w:val="24"/>
          <w:szCs w:val="24"/>
        </w:rPr>
        <w:t xml:space="preserve"> An II/III, Sem. I, Secția: Teologie Aistență/Artă Sacră).</w:t>
      </w:r>
    </w:p>
    <w:p w:rsidR="00E54243" w:rsidRDefault="00E5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243" w:rsidRDefault="00C377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Persoana divino-umană a Mântuitorului Iisus Hristos reflectată în Sf. Scriptură și Tradiția Bisericii</w:t>
      </w:r>
    </w:p>
    <w:p w:rsidR="00E54243" w:rsidRDefault="00C3779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   Buchiu, Pr. prof. dr. Ştefan (coordonator), </w:t>
      </w:r>
      <w:r>
        <w:rPr>
          <w:rFonts w:ascii="Times New Roman" w:hAnsi="Times New Roman"/>
          <w:i/>
          <w:iCs/>
          <w:sz w:val="24"/>
          <w:szCs w:val="24"/>
        </w:rPr>
        <w:t>Teologia Dogmatică Ortodoxă</w:t>
      </w:r>
      <w:r>
        <w:rPr>
          <w:rFonts w:ascii="Times New Roman" w:hAnsi="Times New Roman"/>
          <w:sz w:val="24"/>
          <w:szCs w:val="24"/>
        </w:rPr>
        <w:t>, vol. II, Editura Basilica, Bucureşti, 2022, pp. 86-121.</w:t>
      </w:r>
    </w:p>
    <w:p w:rsidR="00E54243" w:rsidRDefault="00C3779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  Cristescu, Vasile, </w:t>
      </w:r>
      <w:r>
        <w:rPr>
          <w:rFonts w:ascii="Times New Roman" w:hAnsi="Times New Roman"/>
          <w:i/>
          <w:iCs/>
          <w:sz w:val="24"/>
          <w:szCs w:val="24"/>
        </w:rPr>
        <w:t>Teologia Dogmatică Ortodoxă</w:t>
      </w:r>
      <w:r>
        <w:rPr>
          <w:rFonts w:ascii="Times New Roman" w:hAnsi="Times New Roman"/>
          <w:sz w:val="24"/>
          <w:szCs w:val="24"/>
        </w:rPr>
        <w:t>, Editura Tehnopress, Iași, 2009, pp. 118-120; 132-138.</w:t>
      </w:r>
    </w:p>
    <w:p w:rsidR="00E54243" w:rsidRDefault="00C3779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c. Neacșu,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Arhim. Lect. Dr. Nathanael </w:t>
      </w:r>
      <w:r>
        <w:rPr>
          <w:rFonts w:ascii="Times New Roman" w:hAnsi="Times New Roman"/>
          <w:i/>
          <w:iCs/>
          <w:sz w:val="24"/>
          <w:szCs w:val="24"/>
        </w:rPr>
        <w:t>Prelegeri de Teologie Dogmatica Ortodoxă</w:t>
      </w:r>
      <w:r>
        <w:rPr>
          <w:rFonts w:ascii="Times New Roman" w:hAnsi="Times New Roman"/>
          <w:sz w:val="24"/>
          <w:szCs w:val="24"/>
        </w:rPr>
        <w:t>, Facultatea de Teologie “Dumitru Staniloae”, Iași, (Plan de curs pentru uz intern/</w:t>
      </w:r>
      <w:r>
        <w:rPr>
          <w:rFonts w:ascii="Times New Roman" w:hAnsi="Times New Roman"/>
          <w:i/>
          <w:iCs/>
          <w:sz w:val="24"/>
          <w:szCs w:val="24"/>
        </w:rPr>
        <w:t xml:space="preserve">Prelegerile I, II, III, V &amp; VI, </w:t>
      </w:r>
      <w:r>
        <w:rPr>
          <w:rFonts w:ascii="Times New Roman" w:hAnsi="Times New Roman"/>
          <w:sz w:val="24"/>
          <w:szCs w:val="24"/>
        </w:rPr>
        <w:t>An II/III, Sem. II, Secția: Teologie Asistență Socială/Artă Sacră)).</w:t>
      </w:r>
    </w:p>
    <w:p w:rsidR="00E54243" w:rsidRDefault="00E5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243" w:rsidRDefault="00C377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 Învățătura ortodoxă despre Biserică (Constituția Bisericii, Însușirile Bisericii și semnificația lor)</w:t>
      </w:r>
    </w:p>
    <w:p w:rsidR="00E54243" w:rsidRDefault="00C3779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a. Buchiu, Pr. prof. dr. Ştefan (coordonator), </w:t>
      </w:r>
      <w:r>
        <w:rPr>
          <w:rFonts w:ascii="Times New Roman" w:hAnsi="Times New Roman"/>
          <w:i/>
          <w:iCs/>
          <w:sz w:val="24"/>
          <w:szCs w:val="24"/>
        </w:rPr>
        <w:t>Teologia Dogmatică Ortodoxă</w:t>
      </w:r>
      <w:r>
        <w:rPr>
          <w:rFonts w:ascii="Times New Roman" w:hAnsi="Times New Roman"/>
          <w:sz w:val="24"/>
          <w:szCs w:val="24"/>
        </w:rPr>
        <w:t>, vol. II, Editura Basilica, Bucureşti, 2022, pp.  222-272.</w:t>
      </w:r>
    </w:p>
    <w:p w:rsidR="00E54243" w:rsidRDefault="00C37794">
      <w:pPr>
        <w:pStyle w:val="ListParagraph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b. Cristescu, Vasile, </w:t>
      </w:r>
      <w:r>
        <w:rPr>
          <w:rFonts w:ascii="Times New Roman" w:hAnsi="Times New Roman"/>
          <w:i/>
          <w:iCs/>
          <w:sz w:val="24"/>
          <w:szCs w:val="24"/>
        </w:rPr>
        <w:t>Teologia Dogmatică Ortodoxă</w:t>
      </w:r>
      <w:r>
        <w:rPr>
          <w:rFonts w:ascii="Times New Roman" w:hAnsi="Times New Roman"/>
          <w:sz w:val="24"/>
          <w:szCs w:val="24"/>
        </w:rPr>
        <w:t>, Editura Tehnopress, Iași, 2009, pp. 151-155.</w:t>
      </w:r>
    </w:p>
    <w:p w:rsidR="00E54243" w:rsidRDefault="00C37794">
      <w:pPr>
        <w:pStyle w:val="ListParagraph"/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c. Neacșu,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Arhim. Lect. Dr. Nathanael </w:t>
      </w:r>
      <w:r>
        <w:rPr>
          <w:rFonts w:ascii="Times New Roman" w:hAnsi="Times New Roman"/>
          <w:i/>
          <w:iCs/>
          <w:sz w:val="24"/>
          <w:szCs w:val="24"/>
        </w:rPr>
        <w:t>Prelegeri de Teologie Dogmatică Ortodoxă</w:t>
      </w:r>
      <w:r>
        <w:rPr>
          <w:rFonts w:ascii="Times New Roman" w:hAnsi="Times New Roman"/>
          <w:sz w:val="24"/>
          <w:szCs w:val="24"/>
        </w:rPr>
        <w:t xml:space="preserve">, Facultatea de Teologie “Dumitru Staniloae”, Iași, (Plan de curs pentru uz intern/ </w:t>
      </w:r>
      <w:r>
        <w:rPr>
          <w:rFonts w:ascii="Times New Roman" w:hAnsi="Times New Roman"/>
          <w:i/>
          <w:iCs/>
          <w:sz w:val="24"/>
          <w:szCs w:val="24"/>
        </w:rPr>
        <w:t xml:space="preserve">Prelegerile X&amp;XI, </w:t>
      </w:r>
      <w:r>
        <w:rPr>
          <w:rFonts w:ascii="Times New Roman" w:hAnsi="Times New Roman"/>
          <w:sz w:val="24"/>
          <w:szCs w:val="24"/>
        </w:rPr>
        <w:t>An II/III, Sem. II, Secția: Teologie Asistență Socială/Artă Sacră) ).</w:t>
      </w:r>
    </w:p>
    <w:p w:rsidR="00E54243" w:rsidRDefault="00E54243">
      <w:pPr>
        <w:pStyle w:val="ListParagraph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</w:p>
    <w:p w:rsidR="00E54243" w:rsidRDefault="00E54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243" w:rsidRDefault="00C377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Învățătura dogmatică a Bisericii despre Sfintele Taine: Botezul, Mirungerea, Euharistia și Preoția</w:t>
      </w:r>
    </w:p>
    <w:p w:rsidR="00E54243" w:rsidRDefault="00C37794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a. Buchiu, Pr. prof. dr. Ştefan (coordonator), </w:t>
      </w:r>
      <w:r>
        <w:rPr>
          <w:rFonts w:ascii="Times New Roman" w:hAnsi="Times New Roman"/>
          <w:i/>
          <w:iCs/>
          <w:sz w:val="24"/>
          <w:szCs w:val="24"/>
        </w:rPr>
        <w:t>Teologia Dogmatică Ortodoxă</w:t>
      </w:r>
      <w:r>
        <w:rPr>
          <w:rFonts w:ascii="Times New Roman" w:hAnsi="Times New Roman"/>
          <w:sz w:val="24"/>
          <w:szCs w:val="24"/>
        </w:rPr>
        <w:t>, vol. II, Editura Basilica, Bucureşti, 2022, pp. 471-489; 512-515; 521-542; 565-585.</w:t>
      </w:r>
    </w:p>
    <w:p w:rsidR="00E54243" w:rsidRDefault="00C37794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b. Cristescu, Vasile, </w:t>
      </w:r>
      <w:r>
        <w:rPr>
          <w:rFonts w:ascii="Times New Roman" w:hAnsi="Times New Roman"/>
          <w:i/>
          <w:iCs/>
          <w:sz w:val="24"/>
          <w:szCs w:val="24"/>
        </w:rPr>
        <w:t>Teologia Dogmatică Ortodoxă</w:t>
      </w:r>
      <w:r>
        <w:rPr>
          <w:rFonts w:ascii="Times New Roman" w:hAnsi="Times New Roman"/>
          <w:sz w:val="24"/>
          <w:szCs w:val="24"/>
        </w:rPr>
        <w:t>, Editura Tehnopress, Iași, 2009, pp. 161-175.</w:t>
      </w:r>
    </w:p>
    <w:p w:rsidR="00E54243" w:rsidRDefault="00C37794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c. Neacșu,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Arhim. Lect. Dr. Nathanael </w:t>
      </w:r>
      <w:r>
        <w:rPr>
          <w:rFonts w:ascii="Times New Roman" w:hAnsi="Times New Roman"/>
          <w:i/>
          <w:iCs/>
          <w:sz w:val="24"/>
          <w:szCs w:val="24"/>
        </w:rPr>
        <w:t>Prelegeri de Teologie Dogmatica Ortodoxă</w:t>
      </w:r>
      <w:r>
        <w:rPr>
          <w:rFonts w:ascii="Times New Roman" w:hAnsi="Times New Roman"/>
          <w:sz w:val="24"/>
          <w:szCs w:val="24"/>
        </w:rPr>
        <w:t>, Facultatea de Teologie “Dumitru Staniloae”, Iași, (Plan de curs pentru uz intern//</w:t>
      </w:r>
      <w:r>
        <w:rPr>
          <w:rFonts w:ascii="Times New Roman" w:hAnsi="Times New Roman"/>
          <w:i/>
          <w:iCs/>
          <w:sz w:val="24"/>
          <w:szCs w:val="24"/>
        </w:rPr>
        <w:t>Prelegerea XII</w:t>
      </w:r>
      <w:r>
        <w:rPr>
          <w:rFonts w:ascii="Times New Roman" w:hAnsi="Times New Roman"/>
          <w:sz w:val="24"/>
          <w:szCs w:val="24"/>
        </w:rPr>
        <w:t>, An II/III, Sem. II, Secția: Teolog</w:t>
      </w:r>
      <w:r w:rsidR="00636F6D">
        <w:rPr>
          <w:rFonts w:ascii="Times New Roman" w:hAnsi="Times New Roman"/>
          <w:sz w:val="24"/>
          <w:szCs w:val="24"/>
        </w:rPr>
        <w:t>ie Asistență Socială/Artă Sacră</w:t>
      </w:r>
      <w:r>
        <w:rPr>
          <w:rFonts w:ascii="Times New Roman" w:hAnsi="Times New Roman"/>
          <w:sz w:val="24"/>
          <w:szCs w:val="24"/>
        </w:rPr>
        <w:t>).</w:t>
      </w:r>
    </w:p>
    <w:p w:rsidR="00636F6D" w:rsidRDefault="00636F6D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36F6D" w:rsidRDefault="00636F6D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36F6D" w:rsidRDefault="00636F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36F6D" w:rsidRDefault="00636F6D" w:rsidP="00636F6D">
      <w:pPr>
        <w:jc w:val="center"/>
        <w:rPr>
          <w:b/>
          <w:i/>
          <w:lang w:val="ro-RO"/>
        </w:rPr>
      </w:pPr>
      <w:r>
        <w:rPr>
          <w:b/>
          <w:i/>
          <w:lang w:val="ro-RO"/>
        </w:rPr>
        <w:t>SUBIECTE DIN TEOLOGIE SOCIALĂ – PR</w:t>
      </w:r>
      <w:bookmarkStart w:id="0" w:name="_GoBack"/>
      <w:bookmarkEnd w:id="0"/>
      <w:r>
        <w:rPr>
          <w:b/>
          <w:i/>
          <w:lang w:val="ro-RO"/>
        </w:rPr>
        <w:t xml:space="preserve">OBA ORALA </w:t>
      </w:r>
    </w:p>
    <w:p w:rsidR="00636F6D" w:rsidRDefault="00636F6D" w:rsidP="00636F6D">
      <w:pPr>
        <w:jc w:val="center"/>
        <w:rPr>
          <w:b/>
          <w:i/>
          <w:lang w:val="ro-RO"/>
        </w:rPr>
      </w:pPr>
    </w:p>
    <w:p w:rsidR="00636F6D" w:rsidRDefault="00636F6D" w:rsidP="00636F6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ro-RO"/>
        </w:rPr>
      </w:pPr>
      <w:r>
        <w:rPr>
          <w:lang w:val="ro-RO"/>
        </w:rPr>
        <w:t>Tehnici specific procesului de schimbare (contactul iniţial cu clientul, colectare de date şi evaluare primară, planificare şi contract, intervenţie şi monitorizare, evaluare finală)</w:t>
      </w:r>
    </w:p>
    <w:p w:rsidR="00636F6D" w:rsidRDefault="00636F6D" w:rsidP="00636F6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ro-RO"/>
        </w:rPr>
      </w:pPr>
      <w:r>
        <w:rPr>
          <w:lang w:val="ro-RO"/>
        </w:rPr>
        <w:t>Modificări bio-psiho-sociale  specifice vârstei a treia</w:t>
      </w:r>
    </w:p>
    <w:p w:rsidR="00636F6D" w:rsidRDefault="00636F6D" w:rsidP="00636F6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ro-RO"/>
        </w:rPr>
      </w:pPr>
      <w:r>
        <w:rPr>
          <w:lang w:val="ro-RO"/>
        </w:rPr>
        <w:t>Conceptul de criză şi crizele specifice vârstei a treia</w:t>
      </w:r>
    </w:p>
    <w:p w:rsidR="00636F6D" w:rsidRDefault="00636F6D" w:rsidP="00636F6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ro-RO"/>
        </w:rPr>
      </w:pPr>
      <w:r>
        <w:rPr>
          <w:lang w:val="ro-RO"/>
        </w:rPr>
        <w:t>Religiozitatea la vârsta a treia şi la persoanele cu handicap</w:t>
      </w:r>
    </w:p>
    <w:p w:rsidR="00636F6D" w:rsidRDefault="00636F6D" w:rsidP="00636F6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ro-RO"/>
        </w:rPr>
      </w:pPr>
      <w:r>
        <w:rPr>
          <w:lang w:val="ro-RO"/>
        </w:rPr>
        <w:t>Metode şi tehnici utilizate în investigarea persoanelor de vârsta a treia. Tehnici utilizate în realizarea studiului de caz</w:t>
      </w:r>
    </w:p>
    <w:p w:rsidR="00636F6D" w:rsidRDefault="00636F6D" w:rsidP="00636F6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ro-RO"/>
        </w:rPr>
      </w:pPr>
      <w:r>
        <w:rPr>
          <w:lang w:val="ro-RO"/>
        </w:rPr>
        <w:t>Forme de protecţie socială a copilului aflat în dificultate (plasamentul, adopţia şi susţinerea şi integrarea în familia naturală)</w:t>
      </w:r>
    </w:p>
    <w:p w:rsidR="00636F6D" w:rsidRDefault="00636F6D" w:rsidP="00636F6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ro-RO"/>
        </w:rPr>
      </w:pPr>
      <w:r>
        <w:rPr>
          <w:lang w:val="ro-RO"/>
        </w:rPr>
        <w:t>Copilul autist şi modalităţi de intervenţie</w:t>
      </w:r>
    </w:p>
    <w:p w:rsidR="00636F6D" w:rsidRDefault="00636F6D" w:rsidP="00636F6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ro-RO"/>
        </w:rPr>
      </w:pPr>
      <w:r>
        <w:rPr>
          <w:lang w:val="ro-RO"/>
        </w:rPr>
        <w:t>Copilul cu handicap mental şi modalităţile de intervenţie</w:t>
      </w:r>
    </w:p>
    <w:p w:rsidR="00636F6D" w:rsidRDefault="00636F6D" w:rsidP="00636F6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ro-RO"/>
        </w:rPr>
      </w:pPr>
      <w:r>
        <w:rPr>
          <w:lang w:val="ro-RO"/>
        </w:rPr>
        <w:t>Copilul cu handicap fizic şi modalităţi de intervenţie</w:t>
      </w:r>
    </w:p>
    <w:p w:rsidR="00636F6D" w:rsidRDefault="00636F6D" w:rsidP="00636F6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ro-RO"/>
        </w:rPr>
      </w:pPr>
      <w:r>
        <w:rPr>
          <w:lang w:val="ro-RO"/>
        </w:rPr>
        <w:t>Copilul cu handicap senzorial şi modalităţi de intervenţie</w:t>
      </w:r>
    </w:p>
    <w:p w:rsidR="00636F6D" w:rsidRDefault="00636F6D" w:rsidP="00636F6D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>Bibliografie:</w:t>
      </w:r>
    </w:p>
    <w:p w:rsidR="00636F6D" w:rsidRDefault="00636F6D" w:rsidP="00636F6D">
      <w:pPr>
        <w:tabs>
          <w:tab w:val="left" w:pos="-720"/>
        </w:tabs>
        <w:ind w:left="2381" w:hanging="2381"/>
        <w:jc w:val="both"/>
        <w:rPr>
          <w:lang w:val="ro-RO"/>
        </w:rPr>
      </w:pPr>
      <w:r>
        <w:rPr>
          <w:lang w:val="ro-RO"/>
        </w:rPr>
        <w:t>Conţinutul cursurilor materiilor respective</w:t>
      </w:r>
    </w:p>
    <w:p w:rsidR="00636F6D" w:rsidRDefault="00636F6D" w:rsidP="00636F6D">
      <w:pPr>
        <w:tabs>
          <w:tab w:val="left" w:pos="-720"/>
        </w:tabs>
        <w:ind w:left="2381" w:hanging="2381"/>
        <w:jc w:val="both"/>
        <w:rPr>
          <w:lang w:val="ro-RO"/>
        </w:rPr>
      </w:pPr>
      <w:r>
        <w:rPr>
          <w:lang w:val="ro-RO"/>
        </w:rPr>
        <w:t xml:space="preserve">Munteanu, A., </w:t>
      </w:r>
      <w:r>
        <w:rPr>
          <w:i/>
          <w:lang w:val="ro-RO"/>
        </w:rPr>
        <w:t>Familii şi copii în dificultate. Note de curs</w:t>
      </w:r>
      <w:r>
        <w:rPr>
          <w:lang w:val="ro-RO"/>
        </w:rPr>
        <w:t>, Editura Mirton, Timişoara, 2001.</w:t>
      </w:r>
    </w:p>
    <w:p w:rsidR="00636F6D" w:rsidRDefault="00636F6D" w:rsidP="00636F6D">
      <w:pPr>
        <w:tabs>
          <w:tab w:val="left" w:pos="-720"/>
        </w:tabs>
        <w:ind w:left="2381" w:hanging="2381"/>
        <w:jc w:val="both"/>
        <w:rPr>
          <w:lang w:val="ro-RO"/>
        </w:rPr>
      </w:pPr>
      <w:r>
        <w:rPr>
          <w:lang w:val="ro-RO"/>
        </w:rPr>
        <w:t xml:space="preserve">Irimescu, G., </w:t>
      </w:r>
      <w:r>
        <w:rPr>
          <w:i/>
          <w:lang w:val="ro-RO"/>
        </w:rPr>
        <w:t>Protecţia socială a copilului abuzat</w:t>
      </w:r>
      <w:r>
        <w:rPr>
          <w:lang w:val="ro-RO"/>
        </w:rPr>
        <w:t>, Editura Universităţii „Al. I. Cuza” Iaşi, 2006.</w:t>
      </w:r>
    </w:p>
    <w:p w:rsidR="00636F6D" w:rsidRDefault="00636F6D" w:rsidP="00636F6D">
      <w:pPr>
        <w:tabs>
          <w:tab w:val="left" w:pos="-720"/>
        </w:tabs>
        <w:ind w:left="2381" w:hanging="2381"/>
        <w:jc w:val="both"/>
        <w:rPr>
          <w:lang w:val="ro-RO"/>
        </w:rPr>
      </w:pPr>
      <w:r>
        <w:rPr>
          <w:lang w:val="ro-RO"/>
        </w:rPr>
        <w:t xml:space="preserve">Mândrilă, G., C., </w:t>
      </w:r>
      <w:r>
        <w:rPr>
          <w:i/>
          <w:lang w:val="ro-RO"/>
        </w:rPr>
        <w:t>Dinamica familiei</w:t>
      </w:r>
      <w:r>
        <w:rPr>
          <w:lang w:val="ro-RO"/>
        </w:rPr>
        <w:t>, Editura Pim, Iaşi, 2000.</w:t>
      </w:r>
    </w:p>
    <w:p w:rsidR="00636F6D" w:rsidRDefault="00636F6D" w:rsidP="00636F6D">
      <w:pPr>
        <w:tabs>
          <w:tab w:val="left" w:pos="-720"/>
        </w:tabs>
        <w:ind w:left="2381" w:hanging="2381"/>
        <w:jc w:val="both"/>
        <w:rPr>
          <w:lang w:val="ro-RO"/>
        </w:rPr>
      </w:pPr>
      <w:r>
        <w:rPr>
          <w:lang w:val="ro-RO"/>
        </w:rPr>
        <w:t xml:space="preserve">Mândrilă, G., C., </w:t>
      </w:r>
      <w:r>
        <w:rPr>
          <w:i/>
          <w:lang w:val="ro-RO"/>
        </w:rPr>
        <w:t>Procesul de îmbătrânire la vârsta a treia</w:t>
      </w:r>
      <w:r>
        <w:rPr>
          <w:lang w:val="ro-RO"/>
        </w:rPr>
        <w:t>, Editura Universităţii „Al. I. Cuza” Iaşi, 2008.</w:t>
      </w:r>
    </w:p>
    <w:p w:rsidR="00636F6D" w:rsidRDefault="00636F6D" w:rsidP="00636F6D">
      <w:pPr>
        <w:tabs>
          <w:tab w:val="left" w:pos="-720"/>
        </w:tabs>
        <w:ind w:left="2381" w:hanging="2381"/>
        <w:jc w:val="both"/>
        <w:rPr>
          <w:lang w:val="ro-RO"/>
        </w:rPr>
      </w:pPr>
      <w:r>
        <w:rPr>
          <w:lang w:val="ro-RO"/>
        </w:rPr>
        <w:t xml:space="preserve">Irimescu, G., </w:t>
      </w:r>
      <w:r>
        <w:rPr>
          <w:i/>
          <w:lang w:val="ro-RO"/>
        </w:rPr>
        <w:t>Asistenţa socială a familiei şi a copilului</w:t>
      </w:r>
      <w:r>
        <w:rPr>
          <w:lang w:val="ro-RO"/>
        </w:rPr>
        <w:t>, Editura Universităţii „Al. I. Cuza” Iaşi, 2004.</w:t>
      </w:r>
    </w:p>
    <w:p w:rsidR="00636F6D" w:rsidRDefault="00636F6D" w:rsidP="00636F6D">
      <w:pPr>
        <w:tabs>
          <w:tab w:val="left" w:pos="-720"/>
        </w:tabs>
        <w:ind w:left="2381" w:hanging="2381"/>
        <w:jc w:val="both"/>
        <w:rPr>
          <w:lang w:val="ro-RO"/>
        </w:rPr>
      </w:pPr>
      <w:r>
        <w:rPr>
          <w:lang w:val="ro-RO"/>
        </w:rPr>
        <w:t xml:space="preserve">Macovei, E., </w:t>
      </w:r>
      <w:r>
        <w:rPr>
          <w:i/>
          <w:lang w:val="ro-RO"/>
        </w:rPr>
        <w:t>Familia şi casa de copii</w:t>
      </w:r>
      <w:r>
        <w:rPr>
          <w:lang w:val="ro-RO"/>
        </w:rPr>
        <w:t>, Editura Litera, Bucureşti, 1989.</w:t>
      </w:r>
    </w:p>
    <w:p w:rsidR="00636F6D" w:rsidRDefault="00636F6D">
      <w:pPr>
        <w:spacing w:after="0" w:line="240" w:lineRule="auto"/>
        <w:ind w:left="851" w:hanging="851"/>
        <w:jc w:val="both"/>
      </w:pPr>
    </w:p>
    <w:sectPr w:rsidR="00636F6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663" w:rsidRDefault="00A54663">
      <w:pPr>
        <w:spacing w:after="0" w:line="240" w:lineRule="auto"/>
      </w:pPr>
      <w:r>
        <w:separator/>
      </w:r>
    </w:p>
  </w:endnote>
  <w:endnote w:type="continuationSeparator" w:id="0">
    <w:p w:rsidR="00A54663" w:rsidRDefault="00A5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43" w:rsidRDefault="00C37794">
    <w:pPr>
      <w:pStyle w:val="Footer"/>
      <w:tabs>
        <w:tab w:val="clear" w:pos="9360"/>
        <w:tab w:val="right" w:pos="934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A5466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663" w:rsidRDefault="00A54663">
      <w:pPr>
        <w:spacing w:after="0" w:line="240" w:lineRule="auto"/>
      </w:pPr>
      <w:r>
        <w:separator/>
      </w:r>
    </w:p>
  </w:footnote>
  <w:footnote w:type="continuationSeparator" w:id="0">
    <w:p w:rsidR="00A54663" w:rsidRDefault="00A54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43" w:rsidRDefault="00E54243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7751F"/>
    <w:multiLevelType w:val="hybridMultilevel"/>
    <w:tmpl w:val="D1F40D3E"/>
    <w:styleLink w:val="ImportedStyle1"/>
    <w:lvl w:ilvl="0" w:tplc="83EEBF96">
      <w:start w:val="1"/>
      <w:numFmt w:val="lowerLetter"/>
      <w:lvlText w:val="%1.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C06A8">
      <w:start w:val="1"/>
      <w:numFmt w:val="lowerLetter"/>
      <w:lvlText w:val="%2."/>
      <w:lvlJc w:val="left"/>
      <w:pPr>
        <w:ind w:left="18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4B9FC">
      <w:start w:val="1"/>
      <w:numFmt w:val="lowerRoman"/>
      <w:lvlText w:val="%3."/>
      <w:lvlJc w:val="left"/>
      <w:pPr>
        <w:ind w:left="2574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E0D0C6">
      <w:start w:val="1"/>
      <w:numFmt w:val="decimal"/>
      <w:lvlText w:val="%4."/>
      <w:lvlJc w:val="left"/>
      <w:pPr>
        <w:ind w:left="329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48F5B0">
      <w:start w:val="1"/>
      <w:numFmt w:val="lowerLetter"/>
      <w:lvlText w:val="%5."/>
      <w:lvlJc w:val="left"/>
      <w:pPr>
        <w:ind w:left="401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66469A">
      <w:start w:val="1"/>
      <w:numFmt w:val="lowerRoman"/>
      <w:lvlText w:val="%6."/>
      <w:lvlJc w:val="left"/>
      <w:pPr>
        <w:ind w:left="4734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443F16">
      <w:start w:val="1"/>
      <w:numFmt w:val="decimal"/>
      <w:lvlText w:val="%7."/>
      <w:lvlJc w:val="left"/>
      <w:pPr>
        <w:ind w:left="54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4CCC74">
      <w:start w:val="1"/>
      <w:numFmt w:val="lowerLetter"/>
      <w:lvlText w:val="%8."/>
      <w:lvlJc w:val="left"/>
      <w:pPr>
        <w:ind w:left="617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D670BC">
      <w:start w:val="1"/>
      <w:numFmt w:val="lowerRoman"/>
      <w:lvlText w:val="%9."/>
      <w:lvlJc w:val="left"/>
      <w:pPr>
        <w:ind w:left="6894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CBC4F2A"/>
    <w:multiLevelType w:val="hybridMultilevel"/>
    <w:tmpl w:val="D1F40D3E"/>
    <w:numStyleLink w:val="ImportedStyle1"/>
  </w:abstractNum>
  <w:abstractNum w:abstractNumId="2" w15:restartNumberingAfterBreak="0">
    <w:nsid w:val="620C2878"/>
    <w:multiLevelType w:val="hybridMultilevel"/>
    <w:tmpl w:val="6590D9BE"/>
    <w:lvl w:ilvl="0" w:tplc="103887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revisionView w:formatting="0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43"/>
    <w:rsid w:val="000E65D2"/>
    <w:rsid w:val="00636F6D"/>
    <w:rsid w:val="006D61FC"/>
    <w:rsid w:val="00A54663"/>
    <w:rsid w:val="00C37794"/>
    <w:rsid w:val="00E5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9B2650-1685-4DFA-8DCF-B27C8436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Windows User</cp:lastModifiedBy>
  <cp:revision>2</cp:revision>
  <dcterms:created xsi:type="dcterms:W3CDTF">2023-05-19T09:13:00Z</dcterms:created>
  <dcterms:modified xsi:type="dcterms:W3CDTF">2023-05-19T09:13:00Z</dcterms:modified>
</cp:coreProperties>
</file>