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ind w:right="-397"/>
        <w:jc w:val="center"/>
        <w:rPr>
          <w:b w:val="1"/>
          <w:bCs w:val="1"/>
          <w:sz w:val="24"/>
          <w:szCs w:val="24"/>
        </w:rPr>
      </w:pPr>
      <w:r w:rsidDel="00000000" w:rsidR="00000000" w:rsidRPr="00000000">
        <w:rPr>
          <w:b w:val="1"/>
          <w:bCs w:val="1"/>
          <w:sz w:val="24"/>
          <w:szCs w:val="24"/>
          <w:rtl w:val="0"/>
        </w:rPr>
        <w:t xml:space="preserve">“The Biblical, Theological and Philosophical Text in Paul Ricoeur’s Hermeneutics. Relevance for Orthodox Missiology”</w:t>
      </w:r>
    </w:p>
    <w:p w:rsidR="00000000" w:rsidDel="00000000" w:rsidP="00000000" w:rsidRDefault="00000000" w:rsidRPr="00000000" w14:paraId="00000002">
      <w:pPr>
        <w:spacing w:line="360" w:lineRule="auto"/>
        <w:ind w:right="-397"/>
        <w:jc w:val="both"/>
        <w:rPr>
          <w:b w:val="1"/>
          <w:bCs w:val="1"/>
          <w:sz w:val="24"/>
          <w:szCs w:val="24"/>
        </w:rPr>
      </w:pPr>
      <w:r w:rsidDel="00000000" w:rsidR="00000000" w:rsidRPr="00000000">
        <w:rPr>
          <w:b w:val="1"/>
          <w:bCs w:val="1"/>
          <w:sz w:val="24"/>
          <w:szCs w:val="24"/>
          <w:rtl w:val="0"/>
        </w:rPr>
        <w:t xml:space="preserve">Abstract:</w:t>
      </w:r>
    </w:p>
    <w:p w:rsidR="00000000" w:rsidDel="00000000" w:rsidP="00000000" w:rsidRDefault="00000000" w:rsidRPr="00000000" w14:paraId="00000003">
      <w:pPr>
        <w:spacing w:line="360" w:lineRule="auto"/>
        <w:ind w:right="-397"/>
        <w:jc w:val="both"/>
        <w:rPr>
          <w:sz w:val="24"/>
          <w:szCs w:val="24"/>
        </w:rPr>
      </w:pPr>
      <w:r w:rsidDel="00000000" w:rsidR="00000000" w:rsidRPr="00000000">
        <w:rPr>
          <w:sz w:val="24"/>
          <w:szCs w:val="24"/>
          <w:rtl w:val="0"/>
        </w:rPr>
        <w:tab/>
        <w:t xml:space="preserve">The doctoral thesis entitled “The Biblical, Theological and Philosophical Text in Paul Ricoeur’s Hermeneutics. Relevance for Orthodox Missiology” investigates the possibility of a systematic dialogue between Ricoeurian philosophical hermeneutics and Orthodox missionary theology. The choice of the theme starts from the observation that contemporary man lives in a context marked by the fragmentation of identity, the crisis of meaning and the diminution of the capacity of language to create communion and to open existence to the truth. In this context, the mission of the Church is called to proclaim the same truth revealed in a language faithful to Tradition and, at the same time, capable of entering into dialogue with the questions, experiences and searches of man today.</w:t>
      </w:r>
    </w:p>
    <w:p w:rsidR="00000000" w:rsidDel="00000000" w:rsidP="00000000" w:rsidRDefault="00000000" w:rsidRPr="00000000" w14:paraId="00000004">
      <w:pPr>
        <w:spacing w:line="360" w:lineRule="auto"/>
        <w:ind w:right="-397"/>
        <w:jc w:val="both"/>
        <w:rPr>
          <w:sz w:val="24"/>
          <w:szCs w:val="24"/>
        </w:rPr>
      </w:pPr>
      <w:r w:rsidDel="00000000" w:rsidR="00000000" w:rsidRPr="00000000">
        <w:rPr>
          <w:sz w:val="24"/>
          <w:szCs w:val="24"/>
          <w:rtl w:val="0"/>
        </w:rPr>
        <w:tab/>
        <w:t xml:space="preserve">The main objective of the research is to highlight how Paul Ricœur's reflections on narrative, text, symbol, myth and metaphor can contribute to a deeper understanding of the theological word and the mission of the Church. The work does not seek to transform Ricœur into an Orthodox author or to subordinate theology to a philosophical method, but to critically evaluate the resources of his hermeneutics from the perspective of Revelation, Christology, ecclesiology and Orthodox liturgical experience. Philosophy offers tools for understanding how meaning is constituted, transmitted and interpreted, while theology confesses that ultimate meaning is not produced exclusively by language, but is discovered in the encounter with Jesus Christ, the eternal Word of the Father.</w:t>
      </w:r>
    </w:p>
    <w:p w:rsidR="00000000" w:rsidDel="00000000" w:rsidP="00000000" w:rsidRDefault="00000000" w:rsidRPr="00000000" w14:paraId="00000005">
      <w:pPr>
        <w:spacing w:line="360" w:lineRule="auto"/>
        <w:ind w:right="-397"/>
        <w:jc w:val="both"/>
        <w:rPr>
          <w:sz w:val="24"/>
          <w:szCs w:val="24"/>
        </w:rPr>
      </w:pPr>
      <w:r w:rsidDel="00000000" w:rsidR="00000000" w:rsidRPr="00000000">
        <w:rPr>
          <w:sz w:val="24"/>
          <w:szCs w:val="24"/>
          <w:rtl w:val="0"/>
        </w:rPr>
        <w:tab/>
        <w:t xml:space="preserve">The research methodology has a hermeneutical, analytical, comparative and synthetic character. The fundamental works of Paul Ricœur and the main interpretations devoted to his philosophy are analyzed, and the identified concepts are put into dialogue with Holy Scripture, patristic sources, liturgical texts and the reflections of contemporary Orthodox theologians. The research follows both the convergences between the two perspectives and the limits of this dialogue, in order to avoid an uncritical overlap between philosophical hermeneutics and Orthodox theology.</w:t>
      </w:r>
    </w:p>
    <w:p w:rsidR="00000000" w:rsidDel="00000000" w:rsidP="00000000" w:rsidRDefault="00000000" w:rsidRPr="00000000" w14:paraId="00000006">
      <w:pPr>
        <w:spacing w:line="360" w:lineRule="auto"/>
        <w:ind w:right="-397"/>
        <w:jc w:val="both"/>
        <w:rPr>
          <w:sz w:val="24"/>
          <w:szCs w:val="24"/>
        </w:rPr>
      </w:pPr>
      <w:r w:rsidDel="00000000" w:rsidR="00000000" w:rsidRPr="00000000">
        <w:rPr>
          <w:sz w:val="24"/>
          <w:szCs w:val="24"/>
          <w:rtl w:val="0"/>
        </w:rPr>
        <w:tab/>
        <w:t xml:space="preserve">The first chapter analyzes the relationship between narrative and identity. The Ricoeurian concept of narrative identity highlights the fact that the person understands himself through the stories he receives, tells and reinterprets. From a Christian perspective, personal history acquires a new meaning when it is integrated into the history of salvation and configured through the encounter with Christ. Christian identity is not a rigid one, but a becoming marked by conversion, fidelity, responsibility and openness to the other. In this sense, the narrative acquires a missionary function, because the Gospel offers man a horizon in which his own life can be understood, healed and transformed into testimony.</w:t>
      </w:r>
    </w:p>
    <w:p w:rsidR="00000000" w:rsidDel="00000000" w:rsidP="00000000" w:rsidRDefault="00000000" w:rsidRPr="00000000" w14:paraId="00000007">
      <w:pPr>
        <w:spacing w:line="360" w:lineRule="auto"/>
        <w:ind w:right="-397"/>
        <w:jc w:val="both"/>
        <w:rPr>
          <w:sz w:val="24"/>
          <w:szCs w:val="24"/>
        </w:rPr>
      </w:pPr>
      <w:r w:rsidDel="00000000" w:rsidR="00000000" w:rsidRPr="00000000">
        <w:rPr>
          <w:sz w:val="24"/>
          <w:szCs w:val="24"/>
          <w:rtl w:val="0"/>
        </w:rPr>
        <w:tab/>
        <w:t xml:space="preserve">The second chapter is devoted to the world of the text and religious language. In Ricœur's hermeneutics, the text acquires a relative autonomy from the author's intention and projects before the reader a world into which he is invited to enter. Applied to Scripture, the concept of the "world of the text" allows for the understanding of biblical reading as a transformative event. The text does not only transmit information or doctrinal formulations, but opens up a world of creation, promise, forgiveness and the Kingdom, in the light of which the person can shape his existence. Preaching, catechesis and community reading thus become spaces in which the biblical word is updated and transformed into call, response and life.</w:t>
      </w:r>
    </w:p>
    <w:p w:rsidR="00000000" w:rsidDel="00000000" w:rsidP="00000000" w:rsidRDefault="00000000" w:rsidRPr="00000000" w14:paraId="00000008">
      <w:pPr>
        <w:spacing w:line="360" w:lineRule="auto"/>
        <w:ind w:right="-397"/>
        <w:jc w:val="both"/>
        <w:rPr>
          <w:sz w:val="24"/>
          <w:szCs w:val="24"/>
        </w:rPr>
      </w:pPr>
      <w:r w:rsidDel="00000000" w:rsidR="00000000" w:rsidRPr="00000000">
        <w:rPr>
          <w:sz w:val="24"/>
          <w:szCs w:val="24"/>
          <w:rtl w:val="0"/>
        </w:rPr>
        <w:tab/>
        <w:t xml:space="preserve">The following chapters investigate symbol, myth and metaphor as forms of language through which religious meaning is expressed without being conceptually exhausted. The symbol is understood as a bearer of a surplus of meaning and, from an Orthodox perspective, as a reality with a participatory, liturgical and sacramental character. Myth is analyzed as a narrative of origins and as an expression of the human search for meaning, maintaining the distinction between mythical structures and the historical, personal and redemptive character of Revelation. Metaphor is interpreted as a semantic event capable of redescribing reality and opening up new possibilities of understanding. Christological reflection represents the culmination of this analysis: Christ is not a metaphor among others and cannot be reduced to a rhetorical figure, but is the Person in whom the language of Revelation finds its truth and fulfillment.</w:t>
      </w:r>
    </w:p>
    <w:p w:rsidR="00000000" w:rsidDel="00000000" w:rsidP="00000000" w:rsidRDefault="00000000" w:rsidRPr="00000000" w14:paraId="00000009">
      <w:pPr>
        <w:spacing w:line="360" w:lineRule="auto"/>
        <w:ind w:right="-397"/>
        <w:jc w:val="both"/>
        <w:rPr>
          <w:sz w:val="24"/>
          <w:szCs w:val="24"/>
        </w:rPr>
      </w:pPr>
      <w:r w:rsidDel="00000000" w:rsidR="00000000" w:rsidRPr="00000000">
        <w:rPr>
          <w:sz w:val="24"/>
          <w:szCs w:val="24"/>
          <w:rtl w:val="0"/>
        </w:rPr>
        <w:tab/>
        <w:t xml:space="preserve">The last chapter traces the convergence of these dimensions in the liturgical experience. The liturgy is understood as a hermeneutic space in which the narrative of Scripture is proclaimed, the symbol becomes participation, the metaphor becomes confession, and personal identity is integrated into ecclesial communion. The transformation of the believer is not only the result of a reinterpretation of the self, but is the work of God’s grace received in the sacramental life of the Church. The identity formed liturgically has a missionary structure, since the community gathered around Christ is also the community sent to testify, serve, and work for the restoration of communion. </w:t>
      </w:r>
    </w:p>
    <w:p w:rsidR="00000000" w:rsidDel="00000000" w:rsidP="00000000" w:rsidRDefault="00000000" w:rsidRPr="00000000" w14:paraId="0000000A">
      <w:pPr>
        <w:spacing w:line="360" w:lineRule="auto"/>
        <w:ind w:right="-397"/>
        <w:jc w:val="both"/>
        <w:rPr/>
      </w:pPr>
      <w:r w:rsidDel="00000000" w:rsidR="00000000" w:rsidRPr="00000000">
        <w:rPr>
          <w:sz w:val="24"/>
          <w:szCs w:val="24"/>
          <w:rtl w:val="0"/>
        </w:rPr>
        <w:tab/>
        <w:t xml:space="preserve">The conclusion of the research is that Paul Ricœur’s hermeneutics can offer Orthodox missiology important tools for understanding how the word creates meaning, forms identity, and opens existence to transformation. The originality of the thesis lies in the integration of narrative, text, symbol, myth, metaphor, and the Liturgy into a unitary architecture, oriented toward the mission of the Church. The mission can thus be understood as a living hermeneutics of the Gospel: the Church interprets the world in the light of Christ and invites man to reinterpret his life within the history of salvation. The word does not remain only an understood meaning, but becomes assumed life, communion and testimony, extending itself in the "Liturgy after the Liturgy".</w:t>
      </w: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ro"/>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rFonts w:ascii="Calibri" w:cs="Calibri" w:eastAsia="Calibri" w:hAnsi="Calibri"/>
      <w:color w:val="2f5496"/>
      <w:sz w:val="28"/>
      <w:szCs w:val="28"/>
    </w:rPr>
  </w:style>
  <w:style w:type="paragraph" w:styleId="Heading4">
    <w:name w:val="heading 4"/>
    <w:basedOn w:val="Normal"/>
    <w:next w:val="Normal"/>
    <w:pPr>
      <w:keepNext w:val="1"/>
      <w:keepLines w:val="1"/>
      <w:spacing w:after="40" w:before="80" w:lineRule="auto"/>
    </w:pPr>
    <w:rPr>
      <w:rFonts w:ascii="Calibri" w:cs="Calibri" w:eastAsia="Calibri" w:hAnsi="Calibri"/>
      <w:i w:val="1"/>
      <w:iCs w:val="1"/>
      <w:color w:val="2f5496"/>
    </w:rPr>
  </w:style>
  <w:style w:type="paragraph" w:styleId="Heading5">
    <w:name w:val="heading 5"/>
    <w:basedOn w:val="Normal"/>
    <w:next w:val="Normal"/>
    <w:pPr>
      <w:keepNext w:val="1"/>
      <w:keepLines w:val="1"/>
      <w:spacing w:after="40" w:before="80" w:lineRule="auto"/>
    </w:pPr>
    <w:rPr>
      <w:rFonts w:ascii="Calibri" w:cs="Calibri" w:eastAsia="Calibri" w:hAnsi="Calibri"/>
      <w:color w:val="2f5496"/>
    </w:rPr>
  </w:style>
  <w:style w:type="paragraph" w:styleId="Heading6">
    <w:name w:val="heading 6"/>
    <w:basedOn w:val="Normal"/>
    <w:next w:val="Normal"/>
    <w:pPr>
      <w:keepNext w:val="1"/>
      <w:keepLines w:val="1"/>
      <w:spacing w:before="40" w:lineRule="auto"/>
    </w:pPr>
    <w:rPr>
      <w:rFonts w:ascii="Calibri" w:cs="Calibri" w:eastAsia="Calibri" w:hAnsi="Calibri"/>
      <w:i w:val="1"/>
      <w:iCs w:val="1"/>
      <w:color w:val="595959"/>
    </w:rPr>
  </w:style>
  <w:style w:type="paragraph" w:styleId="Title">
    <w:name w:val="Title"/>
    <w:basedOn w:val="Normal"/>
    <w:next w:val="Normal"/>
    <w:pPr>
      <w:spacing w:after="80" w:lineRule="auto"/>
    </w:pPr>
    <w:rPr>
      <w:rFonts w:ascii="Calibri" w:cs="Calibri" w:eastAsia="Calibri" w:hAnsi="Calibri"/>
      <w:sz w:val="56"/>
      <w:szCs w:val="56"/>
    </w:rPr>
  </w:style>
  <w:style w:type="paragraph" w:styleId="Subtitle">
    <w:name w:val="Subtitle"/>
    <w:basedOn w:val="Normal"/>
    <w:next w:val="Normal"/>
    <w:pPr/>
    <w:rPr>
      <w:rFonts w:ascii="Calibri" w:cs="Calibri" w:eastAsia="Calibri" w:hAnsi="Calibri"/>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