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360" w:lineRule="auto"/>
        <w:jc w:val="center"/>
        <w:rPr>
          <w:b w:val="1"/>
          <w:bCs w:val="1"/>
          <w:sz w:val="24"/>
          <w:szCs w:val="24"/>
        </w:rPr>
      </w:pPr>
      <w:r w:rsidDel="00000000" w:rsidR="00000000" w:rsidRPr="00000000">
        <w:rPr>
          <w:b w:val="1"/>
          <w:bCs w:val="1"/>
          <w:sz w:val="24"/>
          <w:szCs w:val="24"/>
          <w:rtl w:val="0"/>
        </w:rPr>
        <w:t xml:space="preserve">„Textul biblic, teologic și filosofic în hermeneutica lui Paul Ricoeur. Relevanța pentru Misiologia Ortodoxă”</w:t>
      </w:r>
    </w:p>
    <w:p w:rsidR="00000000" w:rsidDel="00000000" w:rsidP="00000000" w:rsidRDefault="00000000" w:rsidRPr="00000000" w14:paraId="00000002">
      <w:pPr>
        <w:widowControl w:val="0"/>
        <w:spacing w:line="360" w:lineRule="auto"/>
        <w:jc w:val="both"/>
        <w:rPr>
          <w:b w:val="1"/>
          <w:bCs w:val="1"/>
          <w:sz w:val="24"/>
          <w:szCs w:val="24"/>
        </w:rPr>
      </w:pPr>
      <w:r w:rsidDel="00000000" w:rsidR="00000000" w:rsidRPr="00000000">
        <w:rPr>
          <w:b w:val="1"/>
          <w:bCs w:val="1"/>
          <w:sz w:val="24"/>
          <w:szCs w:val="24"/>
          <w:rtl w:val="0"/>
        </w:rPr>
        <w:t xml:space="preserve">Abstract:</w:t>
      </w:r>
    </w:p>
    <w:p w:rsidR="00000000" w:rsidDel="00000000" w:rsidP="00000000" w:rsidRDefault="00000000" w:rsidRPr="00000000" w14:paraId="00000003">
      <w:pPr>
        <w:spacing w:line="360" w:lineRule="auto"/>
        <w:jc w:val="both"/>
        <w:rPr>
          <w:sz w:val="24"/>
          <w:szCs w:val="24"/>
        </w:rPr>
      </w:pPr>
      <w:r w:rsidDel="00000000" w:rsidR="00000000" w:rsidRPr="00000000">
        <w:rPr>
          <w:sz w:val="24"/>
          <w:szCs w:val="24"/>
          <w:rtl w:val="0"/>
        </w:rPr>
        <w:tab/>
        <w:t xml:space="preserve">Teza de doctorat intitulată „Textul biblic, teologic și filosofic în hermeneutica lui Paul Ricœur. Relevanța pentru Misiologia Ortodoxă” cercetează posibilitatea unui dialog sistematic între hermeneutica filosofică ricoeuriană și teologia ortodoxă misionară. Alegerea temei pornește de la constatarea că omul contemporan trăiește într-un context marcat de fragmentarea identității, criza sensului și diminuarea capacității limbajului de a crea comuniune și de a deschide existența către adevăr. În acest context, misiunea Bisericii este chemată să vestească același adevăr revelat într-un limbaj fidel Tradiției și, în același timp, capabil să intre în dialog cu întrebările, experiențele și căutările omului de astăzi.</w:t>
      </w:r>
    </w:p>
    <w:p w:rsidR="00000000" w:rsidDel="00000000" w:rsidP="00000000" w:rsidRDefault="00000000" w:rsidRPr="00000000" w14:paraId="00000004">
      <w:pPr>
        <w:spacing w:line="360" w:lineRule="auto"/>
        <w:jc w:val="both"/>
        <w:rPr>
          <w:sz w:val="24"/>
          <w:szCs w:val="24"/>
        </w:rPr>
      </w:pPr>
      <w:r w:rsidDel="00000000" w:rsidR="00000000" w:rsidRPr="00000000">
        <w:rPr>
          <w:sz w:val="24"/>
          <w:szCs w:val="24"/>
          <w:rtl w:val="0"/>
        </w:rPr>
        <w:tab/>
        <w:t xml:space="preserve">Obiectivul principal al cercetării constă în evidențierea modului în care reflecțiile lui Paul Ricœur asupra narațiunii, textului, simbolului, mitului și metaforei pot contribui la o înțelegere mai profundă a cuvântului teologic și a misiunii Bisericii. Lucrarea nu urmărește să îl transforme pe Ricœur într-un autor ortodox și nici să subordoneze teologia unei metode filosofice, ci să evalueze critic resursele hermeneuticii sale din perspectiva Revelației, a hristologiei, a eclesiologiei și a experienței liturgice ortodoxe. Filosofia oferă instrumente pentru înțelegerea modului în care sensul se constituie, se transmite și este interpretat, în timp ce teologia mărturisește că sensul ultim nu este produs exclusiv de limbaj, ci se descoperă în întâlnirea cu Iisus Hristos, Cuvântul veșnic al Tatălui.</w:t>
      </w:r>
    </w:p>
    <w:p w:rsidR="00000000" w:rsidDel="00000000" w:rsidP="00000000" w:rsidRDefault="00000000" w:rsidRPr="00000000" w14:paraId="00000005">
      <w:pPr>
        <w:spacing w:line="360" w:lineRule="auto"/>
        <w:jc w:val="both"/>
        <w:rPr>
          <w:sz w:val="24"/>
          <w:szCs w:val="24"/>
        </w:rPr>
      </w:pPr>
      <w:r w:rsidDel="00000000" w:rsidR="00000000" w:rsidRPr="00000000">
        <w:rPr>
          <w:sz w:val="24"/>
          <w:szCs w:val="24"/>
          <w:rtl w:val="0"/>
        </w:rPr>
        <w:tab/>
        <w:t xml:space="preserve">Metodologia cercetării are un caracter hermeneutic, analitic, comparativ și sintetic. Sunt analizate operele fundamentale ale lui Paul Ricœur și principalele interpretări consacrate filosofiei sale, iar conceptele identificate sunt puse în dialog cu Sfânta Scriptură, izvoarele patristice, textele liturgice și reflecțiile unor teologi ortodocși contemporani. Cercetarea urmărește atât convergențele dintre cele două perspective, cât și limitele acestui dialog, pentru a evita o suprapunere necritică între hermeneutica filosofică și teologia ortodoxă.</w:t>
      </w:r>
    </w:p>
    <w:p w:rsidR="00000000" w:rsidDel="00000000" w:rsidP="00000000" w:rsidRDefault="00000000" w:rsidRPr="00000000" w14:paraId="00000006">
      <w:pPr>
        <w:spacing w:line="360" w:lineRule="auto"/>
        <w:jc w:val="both"/>
        <w:rPr>
          <w:sz w:val="24"/>
          <w:szCs w:val="24"/>
        </w:rPr>
      </w:pPr>
      <w:r w:rsidDel="00000000" w:rsidR="00000000" w:rsidRPr="00000000">
        <w:rPr>
          <w:sz w:val="24"/>
          <w:szCs w:val="24"/>
          <w:rtl w:val="0"/>
        </w:rPr>
        <w:tab/>
        <w:t xml:space="preserve">Primul capitol analizează relația dintre narațiune și identitate. Conceptul ricoeurian de identitate narativă evidențiază faptul că persoana se înțelege prin istoriile pe care le primește, le povestește și le reinterpretează. Din perspectivă creștină, istoria personală dobândește un sens nou atunci când este integrată în istoria mântuirii și configurată prin întâlnirea cu Hristos. Identitatea creștină nu este una rigidă, ci o devenire marcată de convertire, fidelitate, responsabilitate și deschidere către celălalt. În acest sens, narațiunea dobândește o funcție misionară, deoarece Evanghelia oferă omului un orizont în care propria viață poate fi înțeleasă, vindecată și transformată în mărturie.</w:t>
      </w:r>
    </w:p>
    <w:p w:rsidR="00000000" w:rsidDel="00000000" w:rsidP="00000000" w:rsidRDefault="00000000" w:rsidRPr="00000000" w14:paraId="00000007">
      <w:pPr>
        <w:spacing w:line="360" w:lineRule="auto"/>
        <w:jc w:val="both"/>
        <w:rPr>
          <w:sz w:val="24"/>
          <w:szCs w:val="24"/>
        </w:rPr>
      </w:pPr>
      <w:r w:rsidDel="00000000" w:rsidR="00000000" w:rsidRPr="00000000">
        <w:rPr>
          <w:sz w:val="24"/>
          <w:szCs w:val="24"/>
          <w:rtl w:val="0"/>
        </w:rPr>
        <w:tab/>
        <w:t xml:space="preserve">Cel de-al doilea capitol este consacrat lumii textului și limbajului religios. În hermeneutica lui Ricœur, textul dobândește o autonomie relativă față de intenția autorului și proiectează înaintea cititorului o lume în care acesta este invitat să intre. Aplicat Scripturii, conceptul de „lume a textului” permite înțelegerea lecturii biblice ca eveniment transformator. Textul nu transmite numai informații sau formulări doctrinare, ci deschide o lume a creației, făgăduinței, iertării și Împărăției, în lumina căreia persoana își poate forma existența. Predicarea, cateheza și lectura comunitară devin astfel spații în care cuvântul biblic este actualizat și transformat în chemare, răspuns și viață.</w:t>
      </w:r>
    </w:p>
    <w:p w:rsidR="00000000" w:rsidDel="00000000" w:rsidP="00000000" w:rsidRDefault="00000000" w:rsidRPr="00000000" w14:paraId="00000008">
      <w:pPr>
        <w:spacing w:line="360" w:lineRule="auto"/>
        <w:jc w:val="both"/>
        <w:rPr>
          <w:sz w:val="24"/>
          <w:szCs w:val="24"/>
        </w:rPr>
      </w:pPr>
      <w:r w:rsidDel="00000000" w:rsidR="00000000" w:rsidRPr="00000000">
        <w:rPr>
          <w:sz w:val="24"/>
          <w:szCs w:val="24"/>
          <w:rtl w:val="0"/>
        </w:rPr>
        <w:tab/>
        <w:t xml:space="preserve">Capitolele următoare cercetează simbolul, mitul și metafora ca forme ale limbajului prin care sensul religios este exprimat fără a fi epuizat conceptual. Simbolul este înțeles ca purtător al unui surplus de sens și, din perspectivă ortodoxă, ca realitate cu un caracter participativ, liturgic și sacramental. Mitul este analizat ca narațiune a originilor și ca expresie a căutării umane de sens, fiind menținută distincția dintre structurile mitice și caracterul istoric, personal și mântuitor al Revelației. Metafora este interpretată ca eveniment semantic capabil să redescrie realitatea și să deschidă noi posibilități de înțelegere. Reflecția hristologică reprezintă punctul culminant al acestei analize: Hristos nu este o metaforă printre altele și nu poate fi redus la o figură retorică, ci este Persoana în Care limbajul Revelației își găsește adevărul și împlinirea.</w:t>
      </w:r>
    </w:p>
    <w:p w:rsidR="00000000" w:rsidDel="00000000" w:rsidP="00000000" w:rsidRDefault="00000000" w:rsidRPr="00000000" w14:paraId="00000009">
      <w:pPr>
        <w:spacing w:line="360" w:lineRule="auto"/>
        <w:jc w:val="both"/>
        <w:rPr>
          <w:sz w:val="24"/>
          <w:szCs w:val="24"/>
        </w:rPr>
      </w:pPr>
      <w:r w:rsidDel="00000000" w:rsidR="00000000" w:rsidRPr="00000000">
        <w:rPr>
          <w:sz w:val="24"/>
          <w:szCs w:val="24"/>
          <w:rtl w:val="0"/>
        </w:rPr>
        <w:tab/>
        <w:t xml:space="preserve">Ultimul capitol urmărește convergența acestor dimensiuni în experiența liturgică. Liturghia este înțeleasă ca spațiu hermeneutic în care narațiunea Scripturii este proclamată, simbolul devine participare, metafora devine mărturisire, iar identitatea personală este integrată în comuniunea eclesială. Transformarea credinciosului nu reprezintă doar rezultatul unei reinterpretări de sine, ci este lucrarea harului lui Dumnezeu primită în viața sacramentală a Bisericii. Identitatea formată liturgic are o structură misionară, întrucât comunitatea adunată în jurul lui Hristos este și comunitatea trimisă să mărturisească, să slujească și să lucreze pentru restaurarea comuniunii.</w:t>
      </w:r>
    </w:p>
    <w:p w:rsidR="00000000" w:rsidDel="00000000" w:rsidP="00000000" w:rsidRDefault="00000000" w:rsidRPr="00000000" w14:paraId="0000000A">
      <w:pPr>
        <w:spacing w:line="360" w:lineRule="auto"/>
        <w:jc w:val="both"/>
        <w:rPr>
          <w:sz w:val="24"/>
          <w:szCs w:val="24"/>
        </w:rPr>
      </w:pPr>
      <w:r w:rsidDel="00000000" w:rsidR="00000000" w:rsidRPr="00000000">
        <w:rPr>
          <w:sz w:val="24"/>
          <w:szCs w:val="24"/>
          <w:rtl w:val="0"/>
        </w:rPr>
        <w:tab/>
        <w:t xml:space="preserve">Concluzia cercetării este că hermeneutica lui Paul Ricœur poate oferi misiologiei ortodoxe instrumente importante pentru înțelegerea modului în care cuvântul creează sens, formează identitatea și deschide existența către transformare. Originalitatea tezei constă în integrarea narațiunii, textului, simbolului, mitului, metaforei și Liturghiei într-o arhitectură unitară, orientată către misiunea Bisericii. Misiunea poate fi astfel înțeleasă ca o hermeneutică vie a Evangheliei: Biserica interpretează lumea în lumina lui Hristos și îl invită pe om să își reinterpreteze viața în interiorul istoriei mântuirii. Cuvântul nu rămâne numai sens înțeles, ci devine viață asumată, comuniune și mărturie, prelungindu-se în „Liturghia după Liturghie”.</w:t>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ro"/>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rFonts w:ascii="Calibri" w:cs="Calibri" w:eastAsia="Calibri" w:hAnsi="Calibri"/>
      <w:color w:val="2f5496"/>
      <w:sz w:val="28"/>
      <w:szCs w:val="28"/>
    </w:rPr>
  </w:style>
  <w:style w:type="paragraph" w:styleId="Heading4">
    <w:name w:val="heading 4"/>
    <w:basedOn w:val="Normal"/>
    <w:next w:val="Normal"/>
    <w:pPr>
      <w:keepNext w:val="1"/>
      <w:keepLines w:val="1"/>
      <w:spacing w:after="40" w:before="80" w:lineRule="auto"/>
    </w:pPr>
    <w:rPr>
      <w:rFonts w:ascii="Calibri" w:cs="Calibri" w:eastAsia="Calibri" w:hAnsi="Calibri"/>
      <w:i w:val="1"/>
      <w:iCs w:val="1"/>
      <w:color w:val="2f5496"/>
    </w:rPr>
  </w:style>
  <w:style w:type="paragraph" w:styleId="Heading5">
    <w:name w:val="heading 5"/>
    <w:basedOn w:val="Normal"/>
    <w:next w:val="Normal"/>
    <w:pPr>
      <w:keepNext w:val="1"/>
      <w:keepLines w:val="1"/>
      <w:spacing w:after="40" w:before="80" w:lineRule="auto"/>
    </w:pPr>
    <w:rPr>
      <w:rFonts w:ascii="Calibri" w:cs="Calibri" w:eastAsia="Calibri" w:hAnsi="Calibri"/>
      <w:color w:val="2f5496"/>
    </w:rPr>
  </w:style>
  <w:style w:type="paragraph" w:styleId="Heading6">
    <w:name w:val="heading 6"/>
    <w:basedOn w:val="Normal"/>
    <w:next w:val="Normal"/>
    <w:pPr>
      <w:keepNext w:val="1"/>
      <w:keepLines w:val="1"/>
      <w:spacing w:before="40" w:lineRule="auto"/>
    </w:pPr>
    <w:rPr>
      <w:rFonts w:ascii="Calibri" w:cs="Calibri" w:eastAsia="Calibri" w:hAnsi="Calibri"/>
      <w:i w:val="1"/>
      <w:iCs w:val="1"/>
      <w:color w:val="595959"/>
    </w:rPr>
  </w:style>
  <w:style w:type="paragraph" w:styleId="Title">
    <w:name w:val="Title"/>
    <w:basedOn w:val="Normal"/>
    <w:next w:val="Normal"/>
    <w:pPr>
      <w:spacing w:after="80" w:lineRule="auto"/>
    </w:pPr>
    <w:rPr>
      <w:rFonts w:ascii="Calibri" w:cs="Calibri" w:eastAsia="Calibri" w:hAnsi="Calibri"/>
      <w:sz w:val="56"/>
      <w:szCs w:val="56"/>
    </w:rPr>
  </w:style>
  <w:style w:type="paragraph" w:styleId="Subtitle">
    <w:name w:val="Subtitle"/>
    <w:basedOn w:val="Normal"/>
    <w:next w:val="Normal"/>
    <w:pPr/>
    <w:rPr>
      <w:rFonts w:ascii="Calibri" w:cs="Calibri" w:eastAsia="Calibri" w:hAnsi="Calibri"/>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