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38022" w14:textId="77777777" w:rsidR="0067207B" w:rsidRDefault="0067207B" w:rsidP="0067207B">
      <w:pPr>
        <w:spacing w:after="0"/>
        <w:jc w:val="center"/>
        <w:rPr>
          <w:rFonts w:ascii="Times New Roman" w:hAnsi="Times New Roman" w:cs="Times New Roman"/>
          <w:b/>
          <w:bCs/>
          <w:sz w:val="28"/>
          <w:szCs w:val="28"/>
        </w:rPr>
      </w:pPr>
      <w:proofErr w:type="spellStart"/>
      <w:r w:rsidRPr="0067207B">
        <w:rPr>
          <w:rFonts w:ascii="Times New Roman" w:hAnsi="Times New Roman" w:cs="Times New Roman"/>
          <w:b/>
          <w:bCs/>
          <w:sz w:val="28"/>
          <w:szCs w:val="28"/>
        </w:rPr>
        <w:t>Relevanța</w:t>
      </w:r>
      <w:proofErr w:type="spellEnd"/>
      <w:r w:rsidRPr="0067207B">
        <w:rPr>
          <w:rFonts w:ascii="Times New Roman" w:hAnsi="Times New Roman" w:cs="Times New Roman"/>
          <w:b/>
          <w:bCs/>
          <w:sz w:val="28"/>
          <w:szCs w:val="28"/>
        </w:rPr>
        <w:t xml:space="preserve"> </w:t>
      </w:r>
      <w:proofErr w:type="spellStart"/>
      <w:r w:rsidRPr="0067207B">
        <w:rPr>
          <w:rFonts w:ascii="Times New Roman" w:hAnsi="Times New Roman" w:cs="Times New Roman"/>
          <w:b/>
          <w:bCs/>
          <w:sz w:val="28"/>
          <w:szCs w:val="28"/>
        </w:rPr>
        <w:t>misiologică</w:t>
      </w:r>
      <w:proofErr w:type="spellEnd"/>
      <w:r w:rsidRPr="0067207B">
        <w:rPr>
          <w:rFonts w:ascii="Times New Roman" w:hAnsi="Times New Roman" w:cs="Times New Roman"/>
          <w:b/>
          <w:bCs/>
          <w:sz w:val="28"/>
          <w:szCs w:val="28"/>
        </w:rPr>
        <w:t xml:space="preserve"> a </w:t>
      </w:r>
      <w:proofErr w:type="spellStart"/>
      <w:r w:rsidRPr="0067207B">
        <w:rPr>
          <w:rFonts w:ascii="Times New Roman" w:hAnsi="Times New Roman" w:cs="Times New Roman"/>
          <w:b/>
          <w:bCs/>
          <w:sz w:val="28"/>
          <w:szCs w:val="28"/>
        </w:rPr>
        <w:t>gândirii</w:t>
      </w:r>
      <w:proofErr w:type="spellEnd"/>
      <w:r w:rsidRPr="0067207B">
        <w:rPr>
          <w:rFonts w:ascii="Times New Roman" w:hAnsi="Times New Roman" w:cs="Times New Roman"/>
          <w:b/>
          <w:bCs/>
          <w:sz w:val="28"/>
          <w:szCs w:val="28"/>
        </w:rPr>
        <w:t xml:space="preserve"> </w:t>
      </w:r>
      <w:proofErr w:type="spellStart"/>
      <w:r w:rsidRPr="0067207B">
        <w:rPr>
          <w:rFonts w:ascii="Times New Roman" w:hAnsi="Times New Roman" w:cs="Times New Roman"/>
          <w:b/>
          <w:bCs/>
          <w:sz w:val="28"/>
          <w:szCs w:val="28"/>
        </w:rPr>
        <w:t>teologice</w:t>
      </w:r>
      <w:proofErr w:type="spellEnd"/>
      <w:r w:rsidRPr="0067207B">
        <w:rPr>
          <w:rFonts w:ascii="Times New Roman" w:hAnsi="Times New Roman" w:cs="Times New Roman"/>
          <w:b/>
          <w:bCs/>
          <w:sz w:val="28"/>
          <w:szCs w:val="28"/>
        </w:rPr>
        <w:t xml:space="preserve"> a </w:t>
      </w:r>
      <w:proofErr w:type="spellStart"/>
      <w:r w:rsidRPr="0067207B">
        <w:rPr>
          <w:rFonts w:ascii="Times New Roman" w:hAnsi="Times New Roman" w:cs="Times New Roman"/>
          <w:b/>
          <w:bCs/>
          <w:sz w:val="28"/>
          <w:szCs w:val="28"/>
        </w:rPr>
        <w:t>lui</w:t>
      </w:r>
      <w:proofErr w:type="spellEnd"/>
      <w:r w:rsidRPr="0067207B">
        <w:rPr>
          <w:rFonts w:ascii="Times New Roman" w:hAnsi="Times New Roman" w:cs="Times New Roman"/>
          <w:b/>
          <w:bCs/>
          <w:sz w:val="28"/>
          <w:szCs w:val="28"/>
        </w:rPr>
        <w:t xml:space="preserve"> John Polkinghorne </w:t>
      </w:r>
      <w:proofErr w:type="spellStart"/>
      <w:r w:rsidRPr="0067207B">
        <w:rPr>
          <w:rFonts w:ascii="Times New Roman" w:hAnsi="Times New Roman" w:cs="Times New Roman"/>
          <w:b/>
          <w:bCs/>
          <w:sz w:val="28"/>
          <w:szCs w:val="28"/>
        </w:rPr>
        <w:t>și</w:t>
      </w:r>
      <w:proofErr w:type="spellEnd"/>
      <w:r w:rsidRPr="0067207B">
        <w:rPr>
          <w:rFonts w:ascii="Times New Roman" w:hAnsi="Times New Roman" w:cs="Times New Roman"/>
          <w:b/>
          <w:bCs/>
          <w:sz w:val="28"/>
          <w:szCs w:val="28"/>
        </w:rPr>
        <w:t xml:space="preserve"> Arthur Peacocke </w:t>
      </w:r>
      <w:proofErr w:type="spellStart"/>
      <w:r w:rsidRPr="0067207B">
        <w:rPr>
          <w:rFonts w:ascii="Times New Roman" w:hAnsi="Times New Roman" w:cs="Times New Roman"/>
          <w:b/>
          <w:bCs/>
          <w:sz w:val="28"/>
          <w:szCs w:val="28"/>
        </w:rPr>
        <w:t>în</w:t>
      </w:r>
      <w:proofErr w:type="spellEnd"/>
      <w:r w:rsidRPr="0067207B">
        <w:rPr>
          <w:rFonts w:ascii="Times New Roman" w:hAnsi="Times New Roman" w:cs="Times New Roman"/>
          <w:b/>
          <w:bCs/>
          <w:sz w:val="28"/>
          <w:szCs w:val="28"/>
        </w:rPr>
        <w:t xml:space="preserve"> </w:t>
      </w:r>
      <w:proofErr w:type="spellStart"/>
      <w:r w:rsidRPr="0067207B">
        <w:rPr>
          <w:rFonts w:ascii="Times New Roman" w:hAnsi="Times New Roman" w:cs="Times New Roman"/>
          <w:b/>
          <w:bCs/>
          <w:sz w:val="28"/>
          <w:szCs w:val="28"/>
        </w:rPr>
        <w:t>contextul</w:t>
      </w:r>
      <w:proofErr w:type="spellEnd"/>
      <w:r w:rsidRPr="0067207B">
        <w:rPr>
          <w:rFonts w:ascii="Times New Roman" w:hAnsi="Times New Roman" w:cs="Times New Roman"/>
          <w:b/>
          <w:bCs/>
          <w:sz w:val="28"/>
          <w:szCs w:val="28"/>
        </w:rPr>
        <w:t xml:space="preserve"> </w:t>
      </w:r>
      <w:proofErr w:type="spellStart"/>
      <w:r w:rsidRPr="0067207B">
        <w:rPr>
          <w:rFonts w:ascii="Times New Roman" w:hAnsi="Times New Roman" w:cs="Times New Roman"/>
          <w:b/>
          <w:bCs/>
          <w:sz w:val="28"/>
          <w:szCs w:val="28"/>
        </w:rPr>
        <w:t>dialogului</w:t>
      </w:r>
      <w:proofErr w:type="spellEnd"/>
      <w:r w:rsidRPr="0067207B">
        <w:rPr>
          <w:rFonts w:ascii="Times New Roman" w:hAnsi="Times New Roman" w:cs="Times New Roman"/>
          <w:b/>
          <w:bCs/>
          <w:sz w:val="28"/>
          <w:szCs w:val="28"/>
        </w:rPr>
        <w:t xml:space="preserve"> cu </w:t>
      </w:r>
      <w:proofErr w:type="spellStart"/>
      <w:r w:rsidRPr="0067207B">
        <w:rPr>
          <w:rFonts w:ascii="Times New Roman" w:hAnsi="Times New Roman" w:cs="Times New Roman"/>
          <w:b/>
          <w:bCs/>
          <w:sz w:val="28"/>
          <w:szCs w:val="28"/>
        </w:rPr>
        <w:t>știința</w:t>
      </w:r>
      <w:proofErr w:type="spellEnd"/>
    </w:p>
    <w:p w14:paraId="43725B96" w14:textId="77777777" w:rsidR="0067207B" w:rsidRDefault="0067207B" w:rsidP="0067207B">
      <w:pPr>
        <w:spacing w:after="0"/>
        <w:jc w:val="center"/>
        <w:rPr>
          <w:rFonts w:ascii="Times New Roman" w:hAnsi="Times New Roman" w:cs="Times New Roman"/>
          <w:b/>
          <w:bCs/>
          <w:sz w:val="28"/>
          <w:szCs w:val="28"/>
        </w:rPr>
      </w:pPr>
    </w:p>
    <w:p w14:paraId="5027F3A4" w14:textId="37306D70" w:rsidR="0067207B" w:rsidRPr="0026670F" w:rsidRDefault="0067207B" w:rsidP="0067207B">
      <w:pPr>
        <w:spacing w:after="0"/>
        <w:jc w:val="right"/>
        <w:rPr>
          <w:rFonts w:ascii="Times New Roman" w:hAnsi="Times New Roman" w:cs="Times New Roman"/>
          <w:sz w:val="28"/>
          <w:szCs w:val="28"/>
        </w:rPr>
      </w:pPr>
      <w:proofErr w:type="spellStart"/>
      <w:r w:rsidRPr="0026670F">
        <w:rPr>
          <w:rFonts w:ascii="Times New Roman" w:hAnsi="Times New Roman" w:cs="Times New Roman"/>
          <w:sz w:val="28"/>
          <w:szCs w:val="28"/>
        </w:rPr>
        <w:t>Drd</w:t>
      </w:r>
      <w:proofErr w:type="spellEnd"/>
      <w:r w:rsidRPr="0026670F">
        <w:rPr>
          <w:rFonts w:ascii="Times New Roman" w:hAnsi="Times New Roman" w:cs="Times New Roman"/>
          <w:sz w:val="28"/>
          <w:szCs w:val="28"/>
        </w:rPr>
        <w:t xml:space="preserve">. Jipa Florentin Iustinian </w:t>
      </w:r>
    </w:p>
    <w:p w14:paraId="28E85864" w14:textId="77777777" w:rsidR="0067207B" w:rsidRPr="0067207B" w:rsidRDefault="0067207B" w:rsidP="0067207B">
      <w:pPr>
        <w:spacing w:after="0"/>
        <w:jc w:val="center"/>
        <w:rPr>
          <w:rFonts w:ascii="Times New Roman" w:hAnsi="Times New Roman" w:cs="Times New Roman"/>
          <w:b/>
          <w:bCs/>
          <w:sz w:val="28"/>
          <w:szCs w:val="28"/>
        </w:rPr>
      </w:pPr>
    </w:p>
    <w:p w14:paraId="0B7F518B" w14:textId="651D292A" w:rsidR="0030358B" w:rsidRPr="0026670F" w:rsidRDefault="0067207B" w:rsidP="0030358B">
      <w:pPr>
        <w:spacing w:line="276" w:lineRule="auto"/>
        <w:ind w:firstLine="720"/>
        <w:jc w:val="both"/>
        <w:rPr>
          <w:rFonts w:ascii="Times New Roman" w:hAnsi="Times New Roman" w:cs="Times New Roman"/>
          <w:b/>
          <w:bCs/>
          <w:sz w:val="28"/>
          <w:szCs w:val="28"/>
          <w:lang w:val="ro-RO"/>
        </w:rPr>
      </w:pPr>
      <w:r w:rsidRPr="0026670F">
        <w:rPr>
          <w:rFonts w:ascii="Times New Roman" w:hAnsi="Times New Roman" w:cs="Times New Roman"/>
          <w:b/>
          <w:bCs/>
          <w:sz w:val="28"/>
          <w:szCs w:val="28"/>
          <w:lang w:val="ro-RO"/>
        </w:rPr>
        <w:t>Abstract</w:t>
      </w:r>
    </w:p>
    <w:p w14:paraId="58461EE8" w14:textId="18518C47" w:rsidR="0030358B" w:rsidRPr="0030358B" w:rsidRDefault="0030358B" w:rsidP="0030358B">
      <w:pPr>
        <w:spacing w:line="276" w:lineRule="auto"/>
        <w:ind w:firstLine="720"/>
        <w:jc w:val="both"/>
        <w:rPr>
          <w:rFonts w:ascii="Times New Roman" w:hAnsi="Times New Roman" w:cs="Times New Roman"/>
          <w:lang w:val="ro-RO"/>
        </w:rPr>
      </w:pPr>
      <w:r w:rsidRPr="0030358B">
        <w:rPr>
          <w:rFonts w:ascii="Times New Roman" w:hAnsi="Times New Roman" w:cs="Times New Roman"/>
          <w:lang w:val="ro-RO"/>
        </w:rPr>
        <w:t xml:space="preserve">Relația dintre știință și teologie constituie una dintre temele importante ale </w:t>
      </w:r>
      <w:r w:rsidRPr="0030358B">
        <w:rPr>
          <w:rFonts w:ascii="Times New Roman" w:hAnsi="Times New Roman" w:cs="Times New Roman"/>
          <w:lang w:val="ro-RO"/>
        </w:rPr>
        <w:t xml:space="preserve">cercetării </w:t>
      </w:r>
      <w:r w:rsidRPr="0030358B">
        <w:rPr>
          <w:rFonts w:ascii="Times New Roman" w:hAnsi="Times New Roman" w:cs="Times New Roman"/>
          <w:lang w:val="ro-RO"/>
        </w:rPr>
        <w:t xml:space="preserve">interdisciplinare contemporane, într-un context în care dezvoltarea științelor naturii ridică noi întrebări cu privire la originea, structura și sensul existenței. Cercetarea de față analizează această problematică din perspectiva contribuțiilor lui John </w:t>
      </w:r>
      <w:proofErr w:type="spellStart"/>
      <w:r w:rsidRPr="0030358B">
        <w:rPr>
          <w:rFonts w:ascii="Times New Roman" w:hAnsi="Times New Roman" w:cs="Times New Roman"/>
          <w:lang w:val="ro-RO"/>
        </w:rPr>
        <w:t>Polkinghorne</w:t>
      </w:r>
      <w:proofErr w:type="spellEnd"/>
      <w:r w:rsidRPr="0030358B">
        <w:rPr>
          <w:rFonts w:ascii="Times New Roman" w:hAnsi="Times New Roman" w:cs="Times New Roman"/>
          <w:lang w:val="ro-RO"/>
        </w:rPr>
        <w:t xml:space="preserve"> și Arthur </w:t>
      </w:r>
      <w:proofErr w:type="spellStart"/>
      <w:r w:rsidRPr="0030358B">
        <w:rPr>
          <w:rFonts w:ascii="Times New Roman" w:hAnsi="Times New Roman" w:cs="Times New Roman"/>
          <w:lang w:val="ro-RO"/>
        </w:rPr>
        <w:t>Peacocke</w:t>
      </w:r>
      <w:proofErr w:type="spellEnd"/>
      <w:r w:rsidRPr="0030358B">
        <w:rPr>
          <w:rFonts w:ascii="Times New Roman" w:hAnsi="Times New Roman" w:cs="Times New Roman"/>
          <w:lang w:val="ro-RO"/>
        </w:rPr>
        <w:t xml:space="preserve">, doi reprezentanți importanți ai dialogului contemporan dintre știință și teologie în spațiul anglican. Alegerea celor doi autori este determinată atât de relevanța contribuțiilor lor, cât și de forma distinctă în care fiecare valorifică propria pregătire științifică în </w:t>
      </w:r>
      <w:r w:rsidRPr="0030358B">
        <w:rPr>
          <w:rFonts w:ascii="Times New Roman" w:hAnsi="Times New Roman" w:cs="Times New Roman"/>
          <w:lang w:val="ro-RO"/>
        </w:rPr>
        <w:t>dezvoltarea gândirii</w:t>
      </w:r>
      <w:r w:rsidRPr="0030358B">
        <w:rPr>
          <w:rFonts w:ascii="Times New Roman" w:hAnsi="Times New Roman" w:cs="Times New Roman"/>
          <w:lang w:val="ro-RO"/>
        </w:rPr>
        <w:t xml:space="preserve"> teologice.</w:t>
      </w:r>
    </w:p>
    <w:p w14:paraId="055564C9" w14:textId="31502B77" w:rsidR="0030358B" w:rsidRPr="0030358B" w:rsidRDefault="0030358B" w:rsidP="0030358B">
      <w:pPr>
        <w:spacing w:line="276" w:lineRule="auto"/>
        <w:ind w:firstLine="720"/>
        <w:jc w:val="both"/>
        <w:rPr>
          <w:rFonts w:ascii="Times New Roman" w:hAnsi="Times New Roman" w:cs="Times New Roman"/>
          <w:lang w:val="ro-RO"/>
        </w:rPr>
      </w:pPr>
      <w:r w:rsidRPr="0030358B">
        <w:rPr>
          <w:rFonts w:ascii="Times New Roman" w:hAnsi="Times New Roman" w:cs="Times New Roman"/>
          <w:lang w:val="ro-RO"/>
        </w:rPr>
        <w:t xml:space="preserve">Studiul urmărește modul în care </w:t>
      </w:r>
      <w:proofErr w:type="spellStart"/>
      <w:r w:rsidRPr="0030358B">
        <w:rPr>
          <w:rFonts w:ascii="Times New Roman" w:hAnsi="Times New Roman" w:cs="Times New Roman"/>
          <w:lang w:val="ro-RO"/>
        </w:rPr>
        <w:t>Polkinghorne</w:t>
      </w:r>
      <w:proofErr w:type="spellEnd"/>
      <w:r w:rsidRPr="0030358B">
        <w:rPr>
          <w:rFonts w:ascii="Times New Roman" w:hAnsi="Times New Roman" w:cs="Times New Roman"/>
          <w:lang w:val="ro-RO"/>
        </w:rPr>
        <w:t xml:space="preserve"> și </w:t>
      </w:r>
      <w:proofErr w:type="spellStart"/>
      <w:r w:rsidRPr="0030358B">
        <w:rPr>
          <w:rFonts w:ascii="Times New Roman" w:hAnsi="Times New Roman" w:cs="Times New Roman"/>
          <w:lang w:val="ro-RO"/>
        </w:rPr>
        <w:t>Peacocke</w:t>
      </w:r>
      <w:proofErr w:type="spellEnd"/>
      <w:r w:rsidRPr="0030358B">
        <w:rPr>
          <w:rFonts w:ascii="Times New Roman" w:hAnsi="Times New Roman" w:cs="Times New Roman"/>
          <w:lang w:val="ro-RO"/>
        </w:rPr>
        <w:t xml:space="preserve"> construiesc raportul dintre cunoașterea științifică și cea teologică, precum și implicațiile concepțiilor lor asupra înțelegerii creației și a lucrării lui Dumnezeu în lume. Perspectiva lui </w:t>
      </w:r>
      <w:proofErr w:type="spellStart"/>
      <w:r w:rsidRPr="0030358B">
        <w:rPr>
          <w:rFonts w:ascii="Times New Roman" w:hAnsi="Times New Roman" w:cs="Times New Roman"/>
          <w:lang w:val="ro-RO"/>
        </w:rPr>
        <w:t>Polkinghorne</w:t>
      </w:r>
      <w:proofErr w:type="spellEnd"/>
      <w:r w:rsidRPr="0030358B">
        <w:rPr>
          <w:rFonts w:ascii="Times New Roman" w:hAnsi="Times New Roman" w:cs="Times New Roman"/>
          <w:lang w:val="ro-RO"/>
        </w:rPr>
        <w:t xml:space="preserve"> este analizată în relație cu fizica, cosmologia, raționalitatea universului, problema cauzalității și conceptul de creație continuă, în timp ce reflecția lui </w:t>
      </w:r>
      <w:proofErr w:type="spellStart"/>
      <w:r w:rsidRPr="0030358B">
        <w:rPr>
          <w:rFonts w:ascii="Times New Roman" w:hAnsi="Times New Roman" w:cs="Times New Roman"/>
          <w:lang w:val="ro-RO"/>
        </w:rPr>
        <w:t>Peacocke</w:t>
      </w:r>
      <w:proofErr w:type="spellEnd"/>
      <w:r w:rsidRPr="0030358B">
        <w:rPr>
          <w:rFonts w:ascii="Times New Roman" w:hAnsi="Times New Roman" w:cs="Times New Roman"/>
          <w:lang w:val="ro-RO"/>
        </w:rPr>
        <w:t xml:space="preserve"> este abordată pornind de la biologie, teoria evoluției, procesele naturale și modul în care prezența și lucrarea lui Dumnezeu pot fi înțelese în cadrul unei lumi aflate în devenire. Cercetarea evidențiază atât punctele de convergență ale celor doi autori, cât și diferențele de accent și de metodă care caracterizează demersurile lor.</w:t>
      </w:r>
    </w:p>
    <w:p w14:paraId="73B2231A" w14:textId="7863661E" w:rsidR="0030358B" w:rsidRPr="0030358B" w:rsidRDefault="0030358B" w:rsidP="0030358B">
      <w:pPr>
        <w:spacing w:line="276" w:lineRule="auto"/>
        <w:ind w:firstLine="720"/>
        <w:jc w:val="both"/>
        <w:rPr>
          <w:rFonts w:ascii="Times New Roman" w:hAnsi="Times New Roman" w:cs="Times New Roman"/>
          <w:lang w:val="ro-RO"/>
        </w:rPr>
      </w:pPr>
      <w:r w:rsidRPr="0030358B">
        <w:rPr>
          <w:rFonts w:ascii="Times New Roman" w:hAnsi="Times New Roman" w:cs="Times New Roman"/>
          <w:lang w:val="ro-RO"/>
        </w:rPr>
        <w:t xml:space="preserve">O dimensiune esențială a lucrării o constituie evaluarea critică a acestor perspective din punct de vedere al teologiei ortodoxe. Concepțiile celor doi autori sunt </w:t>
      </w:r>
      <w:r w:rsidRPr="0030358B">
        <w:rPr>
          <w:rFonts w:ascii="Times New Roman" w:hAnsi="Times New Roman" w:cs="Times New Roman"/>
          <w:lang w:val="ro-RO"/>
        </w:rPr>
        <w:t>comparate</w:t>
      </w:r>
      <w:r w:rsidRPr="0030358B">
        <w:rPr>
          <w:rFonts w:ascii="Times New Roman" w:hAnsi="Times New Roman" w:cs="Times New Roman"/>
          <w:lang w:val="ro-RO"/>
        </w:rPr>
        <w:t xml:space="preserve"> cu reperele teologiei patristice și cu învățătura Bisericii, urmărindu-se identificarea elementelor care pot contribui la dezvoltarea unui dialog autentic între știință și teologie, precum și delimitarea aspectelor care necesită corectări, nuanțări sau o atentă reconsiderare teologică. </w:t>
      </w:r>
      <w:r>
        <w:rPr>
          <w:rFonts w:ascii="Times New Roman" w:hAnsi="Times New Roman" w:cs="Times New Roman"/>
          <w:lang w:val="ro-RO"/>
        </w:rPr>
        <w:t>De asemenea, o</w:t>
      </w:r>
      <w:r w:rsidRPr="0030358B">
        <w:rPr>
          <w:rFonts w:ascii="Times New Roman" w:hAnsi="Times New Roman" w:cs="Times New Roman"/>
          <w:lang w:val="ro-RO"/>
        </w:rPr>
        <w:t xml:space="preserve"> contribuție particulară a cercetării este reprezentată de abordarea comparativă a celor doi autori și de corelarea reflecțiilor lor cu interpretarea teologică a referatului biblic despre creație. Analiza zilelor creației este realizată prin punerea în relație a textului biblic, a interpretărilor patristice, a datelor oferite de știința contemporană și a perspectivelor dezvoltate de </w:t>
      </w:r>
      <w:proofErr w:type="spellStart"/>
      <w:r w:rsidRPr="0030358B">
        <w:rPr>
          <w:rFonts w:ascii="Times New Roman" w:hAnsi="Times New Roman" w:cs="Times New Roman"/>
          <w:lang w:val="ro-RO"/>
        </w:rPr>
        <w:t>Polkinghorne</w:t>
      </w:r>
      <w:proofErr w:type="spellEnd"/>
      <w:r w:rsidRPr="0030358B">
        <w:rPr>
          <w:rFonts w:ascii="Times New Roman" w:hAnsi="Times New Roman" w:cs="Times New Roman"/>
          <w:lang w:val="ro-RO"/>
        </w:rPr>
        <w:t xml:space="preserve"> și </w:t>
      </w:r>
      <w:proofErr w:type="spellStart"/>
      <w:r w:rsidRPr="0030358B">
        <w:rPr>
          <w:rFonts w:ascii="Times New Roman" w:hAnsi="Times New Roman" w:cs="Times New Roman"/>
          <w:lang w:val="ro-RO"/>
        </w:rPr>
        <w:t>Peacocke</w:t>
      </w:r>
      <w:proofErr w:type="spellEnd"/>
      <w:r w:rsidRPr="0030358B">
        <w:rPr>
          <w:rFonts w:ascii="Times New Roman" w:hAnsi="Times New Roman" w:cs="Times New Roman"/>
          <w:lang w:val="ro-RO"/>
        </w:rPr>
        <w:t>. Această abordare permite evidențierea unor modalități prin care rezultatele cercetării științifice pot fi puse în dialog cu teologia creației, fără confundarea planurilor de cunoaștere și fără reducerea teologiei la explicații de natură științifică.</w:t>
      </w:r>
    </w:p>
    <w:p w14:paraId="333AA46E" w14:textId="2444A464" w:rsidR="0030358B" w:rsidRPr="0030358B" w:rsidRDefault="0030358B" w:rsidP="0030358B">
      <w:pPr>
        <w:spacing w:line="276" w:lineRule="auto"/>
        <w:ind w:firstLine="720"/>
        <w:jc w:val="both"/>
        <w:rPr>
          <w:lang w:val="ro-RO"/>
        </w:rPr>
      </w:pPr>
      <w:r w:rsidRPr="0030358B">
        <w:rPr>
          <w:rFonts w:ascii="Times New Roman" w:hAnsi="Times New Roman" w:cs="Times New Roman"/>
          <w:lang w:val="ro-RO"/>
        </w:rPr>
        <w:t>Prin urmare, teza propune o perspectivă asupra dialogului dintre știință și teologie orientată nu doar spre clarificarea raportului dintre cele două domenii, ci și spre identificarea valențelor sale pentru misiunea creștină contemporană. Cercetarea susține necesitatea unui dialog fundamentat atât pe rigoarea cunoașterii științifice, cât și pe fidelitatea față de Tradiția și învățătura Bisericii, în vederea unei mărturisiri creștine ca</w:t>
      </w:r>
      <w:r>
        <w:rPr>
          <w:rFonts w:ascii="Times New Roman" w:hAnsi="Times New Roman" w:cs="Times New Roman"/>
          <w:lang w:val="ro-RO"/>
        </w:rPr>
        <w:t xml:space="preserve">re </w:t>
      </w:r>
      <w:r w:rsidRPr="0030358B">
        <w:rPr>
          <w:rFonts w:ascii="Times New Roman" w:hAnsi="Times New Roman" w:cs="Times New Roman"/>
          <w:lang w:val="ro-RO"/>
        </w:rPr>
        <w:t xml:space="preserve">să </w:t>
      </w:r>
      <w:r>
        <w:rPr>
          <w:rFonts w:ascii="Times New Roman" w:hAnsi="Times New Roman" w:cs="Times New Roman"/>
          <w:lang w:val="ro-RO"/>
        </w:rPr>
        <w:t xml:space="preserve">ofere un </w:t>
      </w:r>
      <w:r w:rsidRPr="0030358B">
        <w:rPr>
          <w:rFonts w:ascii="Times New Roman" w:hAnsi="Times New Roman" w:cs="Times New Roman"/>
          <w:lang w:val="ro-RO"/>
        </w:rPr>
        <w:t>răspun</w:t>
      </w:r>
      <w:r>
        <w:rPr>
          <w:rFonts w:ascii="Times New Roman" w:hAnsi="Times New Roman" w:cs="Times New Roman"/>
          <w:lang w:val="ro-RO"/>
        </w:rPr>
        <w:t xml:space="preserve">s  </w:t>
      </w:r>
      <w:r w:rsidRPr="0030358B">
        <w:rPr>
          <w:rFonts w:ascii="Times New Roman" w:hAnsi="Times New Roman" w:cs="Times New Roman"/>
          <w:lang w:val="ro-RO"/>
        </w:rPr>
        <w:t>provocărilor unei culturi profund marcate de știință și tehnologie.</w:t>
      </w:r>
    </w:p>
    <w:sectPr w:rsidR="0030358B" w:rsidRPr="0030358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3BA5B" w14:textId="77777777" w:rsidR="00053106" w:rsidRDefault="00053106" w:rsidP="0030358B">
      <w:pPr>
        <w:spacing w:after="0" w:line="240" w:lineRule="auto"/>
      </w:pPr>
      <w:r>
        <w:separator/>
      </w:r>
    </w:p>
  </w:endnote>
  <w:endnote w:type="continuationSeparator" w:id="0">
    <w:p w14:paraId="47093E02" w14:textId="77777777" w:rsidR="00053106" w:rsidRDefault="00053106" w:rsidP="003035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0EB40" w14:textId="77777777" w:rsidR="00053106" w:rsidRDefault="00053106" w:rsidP="0030358B">
      <w:pPr>
        <w:spacing w:after="0" w:line="240" w:lineRule="auto"/>
      </w:pPr>
      <w:r>
        <w:separator/>
      </w:r>
    </w:p>
  </w:footnote>
  <w:footnote w:type="continuationSeparator" w:id="0">
    <w:p w14:paraId="0BB105CE" w14:textId="77777777" w:rsidR="00053106" w:rsidRDefault="00053106" w:rsidP="0030358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1BB"/>
    <w:rsid w:val="00053106"/>
    <w:rsid w:val="00203CDD"/>
    <w:rsid w:val="0026670F"/>
    <w:rsid w:val="0030358B"/>
    <w:rsid w:val="005051BB"/>
    <w:rsid w:val="006720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46314"/>
  <w15:chartTrackingRefBased/>
  <w15:docId w15:val="{447EF007-0218-4E28-A324-6DAE2CEDB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5051B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5051B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5051BB"/>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5051BB"/>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5051BB"/>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5051BB"/>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5051BB"/>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5051BB"/>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5051BB"/>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5051BB"/>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5051BB"/>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5051BB"/>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5051BB"/>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5051BB"/>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5051BB"/>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5051BB"/>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5051BB"/>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5051BB"/>
    <w:rPr>
      <w:rFonts w:eastAsiaTheme="majorEastAsia" w:cstheme="majorBidi"/>
      <w:color w:val="272727" w:themeColor="text1" w:themeTint="D8"/>
    </w:rPr>
  </w:style>
  <w:style w:type="paragraph" w:styleId="Titlu">
    <w:name w:val="Title"/>
    <w:basedOn w:val="Normal"/>
    <w:next w:val="Normal"/>
    <w:link w:val="TitluCaracter"/>
    <w:uiPriority w:val="10"/>
    <w:qFormat/>
    <w:rsid w:val="005051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5051BB"/>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5051BB"/>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5051BB"/>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5051BB"/>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5051BB"/>
    <w:rPr>
      <w:i/>
      <w:iCs/>
      <w:color w:val="404040" w:themeColor="text1" w:themeTint="BF"/>
    </w:rPr>
  </w:style>
  <w:style w:type="paragraph" w:styleId="Listparagraf">
    <w:name w:val="List Paragraph"/>
    <w:basedOn w:val="Normal"/>
    <w:uiPriority w:val="34"/>
    <w:qFormat/>
    <w:rsid w:val="005051BB"/>
    <w:pPr>
      <w:ind w:left="720"/>
      <w:contextualSpacing/>
    </w:pPr>
  </w:style>
  <w:style w:type="character" w:styleId="Accentuareintens">
    <w:name w:val="Intense Emphasis"/>
    <w:basedOn w:val="Fontdeparagrafimplicit"/>
    <w:uiPriority w:val="21"/>
    <w:qFormat/>
    <w:rsid w:val="005051BB"/>
    <w:rPr>
      <w:i/>
      <w:iCs/>
      <w:color w:val="2F5496" w:themeColor="accent1" w:themeShade="BF"/>
    </w:rPr>
  </w:style>
  <w:style w:type="paragraph" w:styleId="Citatintens">
    <w:name w:val="Intense Quote"/>
    <w:basedOn w:val="Normal"/>
    <w:next w:val="Normal"/>
    <w:link w:val="CitatintensCaracter"/>
    <w:uiPriority w:val="30"/>
    <w:qFormat/>
    <w:rsid w:val="005051B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5051BB"/>
    <w:rPr>
      <w:i/>
      <w:iCs/>
      <w:color w:val="2F5496" w:themeColor="accent1" w:themeShade="BF"/>
    </w:rPr>
  </w:style>
  <w:style w:type="character" w:styleId="Referireintens">
    <w:name w:val="Intense Reference"/>
    <w:basedOn w:val="Fontdeparagrafimplicit"/>
    <w:uiPriority w:val="32"/>
    <w:qFormat/>
    <w:rsid w:val="005051BB"/>
    <w:rPr>
      <w:b/>
      <w:bCs/>
      <w:smallCaps/>
      <w:color w:val="2F5496" w:themeColor="accent1" w:themeShade="BF"/>
      <w:spacing w:val="5"/>
    </w:rPr>
  </w:style>
  <w:style w:type="paragraph" w:styleId="Textnotdesubsol">
    <w:name w:val="footnote text"/>
    <w:basedOn w:val="Normal"/>
    <w:link w:val="TextnotdesubsolCaracter"/>
    <w:uiPriority w:val="99"/>
    <w:unhideWhenUsed/>
    <w:rsid w:val="0030358B"/>
    <w:pPr>
      <w:spacing w:after="0" w:line="240" w:lineRule="auto"/>
    </w:pPr>
    <w:rPr>
      <w:sz w:val="20"/>
      <w:szCs w:val="20"/>
      <w:lang w:val="ro-RO"/>
    </w:rPr>
  </w:style>
  <w:style w:type="character" w:customStyle="1" w:styleId="TextnotdesubsolCaracter">
    <w:name w:val="Text notă de subsol Caracter"/>
    <w:basedOn w:val="Fontdeparagrafimplicit"/>
    <w:link w:val="Textnotdesubsol"/>
    <w:uiPriority w:val="99"/>
    <w:rsid w:val="0030358B"/>
    <w:rPr>
      <w:sz w:val="20"/>
      <w:szCs w:val="20"/>
      <w:lang w:val="ro-RO"/>
    </w:rPr>
  </w:style>
  <w:style w:type="character" w:styleId="Referinnotdesubsol">
    <w:name w:val="footnote reference"/>
    <w:basedOn w:val="Fontdeparagrafimplicit"/>
    <w:uiPriority w:val="99"/>
    <w:semiHidden/>
    <w:unhideWhenUsed/>
    <w:rsid w:val="0030358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488</Words>
  <Characters>2784</Characters>
  <Application>Microsoft Office Word</Application>
  <DocSecurity>0</DocSecurity>
  <Lines>23</Lines>
  <Paragraphs>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Jipa Iustin</dc:creator>
  <cp:keywords/>
  <dc:description/>
  <cp:lastModifiedBy>Jipa Iustin</cp:lastModifiedBy>
  <cp:revision>4</cp:revision>
  <dcterms:created xsi:type="dcterms:W3CDTF">2026-08-29T09:30:00Z</dcterms:created>
  <dcterms:modified xsi:type="dcterms:W3CDTF">2026-08-29T09:46:00Z</dcterms:modified>
</cp:coreProperties>
</file>