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ABC63" w14:textId="380D7D9E" w:rsidR="00032DE3" w:rsidRPr="00032DE3" w:rsidRDefault="00032DE3" w:rsidP="00032DE3">
      <w:pPr>
        <w:jc w:val="center"/>
        <w:rPr>
          <w:rFonts w:ascii="Times New Roman" w:hAnsi="Times New Roman" w:cs="Times New Roman"/>
          <w:b/>
          <w:bCs/>
          <w:sz w:val="28"/>
          <w:szCs w:val="28"/>
        </w:rPr>
      </w:pPr>
      <w:r w:rsidRPr="00032DE3">
        <w:rPr>
          <w:rFonts w:ascii="Times New Roman" w:hAnsi="Times New Roman" w:cs="Times New Roman"/>
          <w:b/>
          <w:bCs/>
          <w:sz w:val="28"/>
          <w:szCs w:val="28"/>
        </w:rPr>
        <w:t xml:space="preserve">The </w:t>
      </w:r>
      <w:r w:rsidR="0016040E">
        <w:rPr>
          <w:rFonts w:ascii="Times New Roman" w:hAnsi="Times New Roman" w:cs="Times New Roman"/>
          <w:b/>
          <w:bCs/>
          <w:sz w:val="28"/>
          <w:szCs w:val="28"/>
        </w:rPr>
        <w:t>m</w:t>
      </w:r>
      <w:r w:rsidRPr="00032DE3">
        <w:rPr>
          <w:rFonts w:ascii="Times New Roman" w:hAnsi="Times New Roman" w:cs="Times New Roman"/>
          <w:b/>
          <w:bCs/>
          <w:sz w:val="28"/>
          <w:szCs w:val="28"/>
        </w:rPr>
        <w:t xml:space="preserve">issiological </w:t>
      </w:r>
      <w:r w:rsidR="0016040E">
        <w:rPr>
          <w:rFonts w:ascii="Times New Roman" w:hAnsi="Times New Roman" w:cs="Times New Roman"/>
          <w:b/>
          <w:bCs/>
          <w:sz w:val="28"/>
          <w:szCs w:val="28"/>
        </w:rPr>
        <w:t>r</w:t>
      </w:r>
      <w:r w:rsidRPr="00032DE3">
        <w:rPr>
          <w:rFonts w:ascii="Times New Roman" w:hAnsi="Times New Roman" w:cs="Times New Roman"/>
          <w:b/>
          <w:bCs/>
          <w:sz w:val="28"/>
          <w:szCs w:val="28"/>
        </w:rPr>
        <w:t xml:space="preserve">elevance of the </w:t>
      </w:r>
      <w:r w:rsidR="0016040E">
        <w:rPr>
          <w:rFonts w:ascii="Times New Roman" w:hAnsi="Times New Roman" w:cs="Times New Roman"/>
          <w:b/>
          <w:bCs/>
          <w:sz w:val="28"/>
          <w:szCs w:val="28"/>
        </w:rPr>
        <w:t>t</w:t>
      </w:r>
      <w:r w:rsidRPr="00032DE3">
        <w:rPr>
          <w:rFonts w:ascii="Times New Roman" w:hAnsi="Times New Roman" w:cs="Times New Roman"/>
          <w:b/>
          <w:bCs/>
          <w:sz w:val="28"/>
          <w:szCs w:val="28"/>
        </w:rPr>
        <w:t xml:space="preserve">heological </w:t>
      </w:r>
      <w:r w:rsidR="0016040E">
        <w:rPr>
          <w:rFonts w:ascii="Times New Roman" w:hAnsi="Times New Roman" w:cs="Times New Roman"/>
          <w:b/>
          <w:bCs/>
          <w:sz w:val="28"/>
          <w:szCs w:val="28"/>
        </w:rPr>
        <w:t>t</w:t>
      </w:r>
      <w:r w:rsidRPr="00032DE3">
        <w:rPr>
          <w:rFonts w:ascii="Times New Roman" w:hAnsi="Times New Roman" w:cs="Times New Roman"/>
          <w:b/>
          <w:bCs/>
          <w:sz w:val="28"/>
          <w:szCs w:val="28"/>
        </w:rPr>
        <w:t xml:space="preserve">hought of John Polkinghorne and Arthur Peacocke in the </w:t>
      </w:r>
      <w:r w:rsidR="0016040E">
        <w:rPr>
          <w:rFonts w:ascii="Times New Roman" w:hAnsi="Times New Roman" w:cs="Times New Roman"/>
          <w:b/>
          <w:bCs/>
          <w:sz w:val="28"/>
          <w:szCs w:val="28"/>
        </w:rPr>
        <w:t>c</w:t>
      </w:r>
      <w:r w:rsidRPr="00032DE3">
        <w:rPr>
          <w:rFonts w:ascii="Times New Roman" w:hAnsi="Times New Roman" w:cs="Times New Roman"/>
          <w:b/>
          <w:bCs/>
          <w:sz w:val="28"/>
          <w:szCs w:val="28"/>
        </w:rPr>
        <w:t xml:space="preserve">ontext of the </w:t>
      </w:r>
      <w:r w:rsidR="0016040E">
        <w:rPr>
          <w:rFonts w:ascii="Times New Roman" w:hAnsi="Times New Roman" w:cs="Times New Roman"/>
          <w:b/>
          <w:bCs/>
          <w:sz w:val="28"/>
          <w:szCs w:val="28"/>
        </w:rPr>
        <w:t>d</w:t>
      </w:r>
      <w:r w:rsidRPr="00032DE3">
        <w:rPr>
          <w:rFonts w:ascii="Times New Roman" w:hAnsi="Times New Roman" w:cs="Times New Roman"/>
          <w:b/>
          <w:bCs/>
          <w:sz w:val="28"/>
          <w:szCs w:val="28"/>
        </w:rPr>
        <w:t xml:space="preserve">ialogue with </w:t>
      </w:r>
      <w:r w:rsidR="0016040E">
        <w:rPr>
          <w:rFonts w:ascii="Times New Roman" w:hAnsi="Times New Roman" w:cs="Times New Roman"/>
          <w:b/>
          <w:bCs/>
          <w:sz w:val="28"/>
          <w:szCs w:val="28"/>
        </w:rPr>
        <w:t>s</w:t>
      </w:r>
      <w:r w:rsidRPr="00032DE3">
        <w:rPr>
          <w:rFonts w:ascii="Times New Roman" w:hAnsi="Times New Roman" w:cs="Times New Roman"/>
          <w:b/>
          <w:bCs/>
          <w:sz w:val="28"/>
          <w:szCs w:val="28"/>
        </w:rPr>
        <w:t>cience</w:t>
      </w:r>
    </w:p>
    <w:p w14:paraId="6DB472A5" w14:textId="3FAF4E27" w:rsidR="00032DE3" w:rsidRPr="00032DE3" w:rsidRDefault="00032DE3" w:rsidP="00032DE3">
      <w:pPr>
        <w:jc w:val="right"/>
        <w:rPr>
          <w:rFonts w:ascii="Times New Roman" w:hAnsi="Times New Roman" w:cs="Times New Roman"/>
          <w:sz w:val="28"/>
          <w:szCs w:val="28"/>
        </w:rPr>
      </w:pPr>
      <w:r w:rsidRPr="00032DE3">
        <w:rPr>
          <w:rFonts w:ascii="Times New Roman" w:hAnsi="Times New Roman" w:cs="Times New Roman"/>
          <w:sz w:val="28"/>
          <w:szCs w:val="28"/>
        </w:rPr>
        <w:t>PhD Candidate Jipa Florentin Iustinian</w:t>
      </w:r>
    </w:p>
    <w:p w14:paraId="7993B8B0" w14:textId="55884086" w:rsidR="00032DE3" w:rsidRPr="00032DE3" w:rsidRDefault="00032DE3" w:rsidP="00032DE3">
      <w:pPr>
        <w:ind w:firstLine="720"/>
        <w:rPr>
          <w:rFonts w:ascii="Times New Roman" w:hAnsi="Times New Roman" w:cs="Times New Roman"/>
          <w:b/>
          <w:bCs/>
          <w:sz w:val="28"/>
          <w:szCs w:val="28"/>
        </w:rPr>
      </w:pPr>
      <w:r w:rsidRPr="00032DE3">
        <w:rPr>
          <w:rFonts w:ascii="Times New Roman" w:hAnsi="Times New Roman" w:cs="Times New Roman"/>
          <w:b/>
          <w:bCs/>
          <w:sz w:val="28"/>
          <w:szCs w:val="28"/>
        </w:rPr>
        <w:t>Abstract</w:t>
      </w:r>
    </w:p>
    <w:p w14:paraId="19011675" w14:textId="35654EC9" w:rsidR="00032DE3" w:rsidRPr="00032DE3" w:rsidRDefault="00032DE3" w:rsidP="00032DE3">
      <w:pPr>
        <w:spacing w:line="276" w:lineRule="auto"/>
        <w:ind w:firstLine="720"/>
        <w:jc w:val="both"/>
        <w:rPr>
          <w:rFonts w:ascii="Times New Roman" w:hAnsi="Times New Roman" w:cs="Times New Roman"/>
        </w:rPr>
      </w:pPr>
      <w:r w:rsidRPr="00032DE3">
        <w:rPr>
          <w:rFonts w:ascii="Times New Roman" w:hAnsi="Times New Roman" w:cs="Times New Roman"/>
        </w:rPr>
        <w:t>The relationship between science and theology represents one of the significant themes of contemporary interdisciplinary research, particularly in a context in which the development of the natural sciences raises new questions concerning the origin, structure, and meaning of existence. The present study examines this issue through the contributions of John Polkinghorne and Arthur Peacocke, two important representatives of the contemporary dialogue between science and theology within the Anglican tradition. The choice of these two authors is motivated both by the relevance of their contributions and by the distinctive ways in which each draws upon his scientific background in developing his theological thought.</w:t>
      </w:r>
    </w:p>
    <w:p w14:paraId="4AD7460E" w14:textId="0A8C33E3" w:rsidR="00032DE3" w:rsidRPr="00032DE3" w:rsidRDefault="00032DE3" w:rsidP="00032DE3">
      <w:pPr>
        <w:spacing w:line="276" w:lineRule="auto"/>
        <w:ind w:firstLine="720"/>
        <w:jc w:val="both"/>
        <w:rPr>
          <w:rFonts w:ascii="Times New Roman" w:hAnsi="Times New Roman" w:cs="Times New Roman"/>
        </w:rPr>
      </w:pPr>
      <w:r w:rsidRPr="00032DE3">
        <w:rPr>
          <w:rFonts w:ascii="Times New Roman" w:hAnsi="Times New Roman" w:cs="Times New Roman"/>
        </w:rPr>
        <w:t>The study explores how Polkinghorne and Peacocke conceptualize the relationship between scientific and theological knowledge, as well as the implications of their approaches for understanding creation and God’s action in the world. Polkinghorne’s perspective is examined in relation to physics, cosmology, the rationality of the universe, the question of causality, and the concept of continuous creation, while Peacocke’s theological reflection is approached from the perspectives of biology, evolutionary theory, natural processes, and the ways in which God’s presence and activity may be understood within a world characterized by continual becoming. The research highlights both the points of convergence between the two authors and the differences in emphasis and methodology that distinguish their respective approaches.</w:t>
      </w:r>
    </w:p>
    <w:p w14:paraId="122D220F" w14:textId="2ECFFA97" w:rsidR="00032DE3" w:rsidRPr="00032DE3" w:rsidRDefault="00032DE3" w:rsidP="00741012">
      <w:pPr>
        <w:spacing w:line="276" w:lineRule="auto"/>
        <w:ind w:firstLine="720"/>
        <w:jc w:val="both"/>
        <w:rPr>
          <w:rFonts w:ascii="Times New Roman" w:hAnsi="Times New Roman" w:cs="Times New Roman"/>
        </w:rPr>
      </w:pPr>
      <w:r w:rsidRPr="00032DE3">
        <w:rPr>
          <w:rFonts w:ascii="Times New Roman" w:hAnsi="Times New Roman" w:cs="Times New Roman"/>
        </w:rPr>
        <w:t>An essential dimension of the study consists in the critical evaluation of these perspectives from the standpoint of Orthodox theology. The ideas of the two authors are examined in relation to the main principles of Patristic theology and the teaching of the Church, with the aim of identifying those elements that may contribute to the development of an authentic dialogue between science and theology, as well as those aspects that require correction, qualification, or careful theological reconsideration. A particular contribution of the research lies in the comparative approach to the two authors and in relating their reflections to the theological interpretation of the biblical account of creation. The analysis of the days of creation is carried out by bringing together the biblical text, Patristic interpretations, insights provided by contemporary science, and the perspectives developed by Polkinghorne and Peacocke. This approach makes it possible to identify ways in which the findings of scientific research may be brought into dialogue with the theology of creation, without conflating distinct modes of knowledge or reducing theology to scientific explanations.</w:t>
      </w:r>
    </w:p>
    <w:p w14:paraId="6FFEF04F" w14:textId="68805457" w:rsidR="00177F6E" w:rsidRPr="00032DE3" w:rsidRDefault="00032DE3" w:rsidP="00032DE3">
      <w:pPr>
        <w:spacing w:line="276" w:lineRule="auto"/>
        <w:ind w:firstLine="720"/>
        <w:jc w:val="both"/>
        <w:rPr>
          <w:rFonts w:ascii="Times New Roman" w:hAnsi="Times New Roman" w:cs="Times New Roman"/>
        </w:rPr>
      </w:pPr>
      <w:r w:rsidRPr="00032DE3">
        <w:rPr>
          <w:rFonts w:ascii="Times New Roman" w:hAnsi="Times New Roman" w:cs="Times New Roman"/>
        </w:rPr>
        <w:t xml:space="preserve">Consequently, the thesis proposes an approach to the dialogue between science and theology that is oriented not only toward clarifying the relationship between the two fields, but also toward identifying its implications for contemporary Christian mission. The research emphasizes the need for a dialogue grounded both in the rigor of scientific knowledge and in fidelity to the Tradition and teaching of the Church, with a view to articulating a Christian </w:t>
      </w:r>
      <w:r w:rsidRPr="00032DE3">
        <w:rPr>
          <w:rFonts w:ascii="Times New Roman" w:hAnsi="Times New Roman" w:cs="Times New Roman"/>
        </w:rPr>
        <w:lastRenderedPageBreak/>
        <w:t>witness capable of responding to the challenges posed by a culture deeply shaped by science and technology.</w:t>
      </w:r>
    </w:p>
    <w:sectPr w:rsidR="00177F6E" w:rsidRPr="00032D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6E"/>
    <w:rsid w:val="00032DE3"/>
    <w:rsid w:val="0016040E"/>
    <w:rsid w:val="00177F6E"/>
    <w:rsid w:val="00203CDD"/>
    <w:rsid w:val="00741012"/>
    <w:rsid w:val="00927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5334"/>
  <w15:chartTrackingRefBased/>
  <w15:docId w15:val="{C050A3E2-ECD9-4A76-BFA7-F56DCEB0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77F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77F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77F6E"/>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77F6E"/>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77F6E"/>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77F6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77F6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77F6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77F6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77F6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77F6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77F6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77F6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77F6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77F6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77F6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77F6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77F6E"/>
    <w:rPr>
      <w:rFonts w:eastAsiaTheme="majorEastAsia" w:cstheme="majorBidi"/>
      <w:color w:val="272727" w:themeColor="text1" w:themeTint="D8"/>
    </w:rPr>
  </w:style>
  <w:style w:type="paragraph" w:styleId="Titlu">
    <w:name w:val="Title"/>
    <w:basedOn w:val="Normal"/>
    <w:next w:val="Normal"/>
    <w:link w:val="TitluCaracter"/>
    <w:uiPriority w:val="10"/>
    <w:qFormat/>
    <w:rsid w:val="00177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77F6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77F6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77F6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77F6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77F6E"/>
    <w:rPr>
      <w:i/>
      <w:iCs/>
      <w:color w:val="404040" w:themeColor="text1" w:themeTint="BF"/>
    </w:rPr>
  </w:style>
  <w:style w:type="paragraph" w:styleId="Listparagraf">
    <w:name w:val="List Paragraph"/>
    <w:basedOn w:val="Normal"/>
    <w:uiPriority w:val="34"/>
    <w:qFormat/>
    <w:rsid w:val="00177F6E"/>
    <w:pPr>
      <w:ind w:left="720"/>
      <w:contextualSpacing/>
    </w:pPr>
  </w:style>
  <w:style w:type="character" w:styleId="Accentuareintens">
    <w:name w:val="Intense Emphasis"/>
    <w:basedOn w:val="Fontdeparagrafimplicit"/>
    <w:uiPriority w:val="21"/>
    <w:qFormat/>
    <w:rsid w:val="00177F6E"/>
    <w:rPr>
      <w:i/>
      <w:iCs/>
      <w:color w:val="2F5496" w:themeColor="accent1" w:themeShade="BF"/>
    </w:rPr>
  </w:style>
  <w:style w:type="paragraph" w:styleId="Citatintens">
    <w:name w:val="Intense Quote"/>
    <w:basedOn w:val="Normal"/>
    <w:next w:val="Normal"/>
    <w:link w:val="CitatintensCaracter"/>
    <w:uiPriority w:val="30"/>
    <w:qFormat/>
    <w:rsid w:val="00177F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77F6E"/>
    <w:rPr>
      <w:i/>
      <w:iCs/>
      <w:color w:val="2F5496" w:themeColor="accent1" w:themeShade="BF"/>
    </w:rPr>
  </w:style>
  <w:style w:type="character" w:styleId="Referireintens">
    <w:name w:val="Intense Reference"/>
    <w:basedOn w:val="Fontdeparagrafimplicit"/>
    <w:uiPriority w:val="32"/>
    <w:qFormat/>
    <w:rsid w:val="00177F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519</Words>
  <Characters>2962</Characters>
  <Application>Microsoft Office Word</Application>
  <DocSecurity>0</DocSecurity>
  <Lines>24</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Jipa Iustin</dc:creator>
  <cp:keywords/>
  <dc:description/>
  <cp:lastModifiedBy>Jipa Iustin</cp:lastModifiedBy>
  <cp:revision>3</cp:revision>
  <dcterms:created xsi:type="dcterms:W3CDTF">2026-08-29T09:14:00Z</dcterms:created>
  <dcterms:modified xsi:type="dcterms:W3CDTF">2026-08-29T10:28:00Z</dcterms:modified>
</cp:coreProperties>
</file>